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0467B1" w14:textId="77777777" w:rsidR="008B3545" w:rsidRDefault="00150FE7" w:rsidP="00BA6DE8">
      <w:pPr>
        <w:pStyle w:val="Odsekzoznamu1"/>
        <w:spacing w:after="0" w:line="240" w:lineRule="auto"/>
        <w:ind w:left="0"/>
        <w:rPr>
          <w:b/>
          <w:bCs/>
          <w:sz w:val="72"/>
        </w:rPr>
      </w:pPr>
      <w:r w:rsidRPr="00150FE7">
        <w:rPr>
          <w:noProof/>
          <w:lang w:eastAsia="sk-SK"/>
        </w:rPr>
        <w:drawing>
          <wp:anchor distT="0" distB="0" distL="114300" distR="114300" simplePos="0" relativeHeight="251652607" behindDoc="1" locked="0" layoutInCell="1" allowOverlap="1" wp14:anchorId="55E17441" wp14:editId="4535BAB4">
            <wp:simplePos x="0" y="0"/>
            <wp:positionH relativeFrom="column">
              <wp:posOffset>-993775</wp:posOffset>
            </wp:positionH>
            <wp:positionV relativeFrom="paragraph">
              <wp:posOffset>-902335</wp:posOffset>
            </wp:positionV>
            <wp:extent cx="7639513" cy="10810875"/>
            <wp:effectExtent l="0" t="0" r="0" b="0"/>
            <wp:wrapNone/>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lack A4.png"/>
                    <pic:cNvPicPr/>
                  </pic:nvPicPr>
                  <pic:blipFill>
                    <a:blip r:embed="rId8">
                      <a:extLst>
                        <a:ext uri="{28A0092B-C50C-407E-A947-70E740481C1C}">
                          <a14:useLocalDpi xmlns:a14="http://schemas.microsoft.com/office/drawing/2010/main" val="0"/>
                        </a:ext>
                      </a:extLst>
                    </a:blip>
                    <a:stretch>
                      <a:fillRect/>
                    </a:stretch>
                  </pic:blipFill>
                  <pic:spPr>
                    <a:xfrm>
                      <a:off x="0" y="0"/>
                      <a:ext cx="7639513" cy="10810875"/>
                    </a:xfrm>
                    <a:prstGeom prst="rect">
                      <a:avLst/>
                    </a:prstGeom>
                  </pic:spPr>
                </pic:pic>
              </a:graphicData>
            </a:graphic>
            <wp14:sizeRelH relativeFrom="page">
              <wp14:pctWidth>0</wp14:pctWidth>
            </wp14:sizeRelH>
            <wp14:sizeRelV relativeFrom="page">
              <wp14:pctHeight>0</wp14:pctHeight>
            </wp14:sizeRelV>
          </wp:anchor>
        </w:drawing>
      </w:r>
    </w:p>
    <w:p w14:paraId="330ABC01" w14:textId="77777777" w:rsidR="00351D45" w:rsidRDefault="00351D45" w:rsidP="00351D45">
      <w:pPr>
        <w:pStyle w:val="Odsekzoznamu1"/>
        <w:spacing w:after="0" w:line="240" w:lineRule="auto"/>
        <w:ind w:left="360"/>
        <w:jc w:val="center"/>
        <w:rPr>
          <w:b/>
          <w:bCs/>
          <w:sz w:val="72"/>
        </w:rPr>
      </w:pPr>
    </w:p>
    <w:p w14:paraId="3DDB4FE0" w14:textId="77777777" w:rsidR="00351D45" w:rsidRDefault="00150FE7" w:rsidP="00351D45">
      <w:pPr>
        <w:pStyle w:val="Odsekzoznamu1"/>
        <w:spacing w:after="0" w:line="240" w:lineRule="auto"/>
        <w:ind w:left="360"/>
        <w:jc w:val="center"/>
        <w:rPr>
          <w:b/>
          <w:bCs/>
          <w:sz w:val="72"/>
        </w:rPr>
      </w:pPr>
      <w:r w:rsidRPr="00150FE7">
        <w:rPr>
          <w:noProof/>
          <w:lang w:eastAsia="sk-SK"/>
        </w:rPr>
        <mc:AlternateContent>
          <mc:Choice Requires="wps">
            <w:drawing>
              <wp:anchor distT="0" distB="0" distL="114300" distR="114300" simplePos="0" relativeHeight="251653632" behindDoc="0" locked="0" layoutInCell="1" allowOverlap="1" wp14:anchorId="3948641B" wp14:editId="29353C0C">
                <wp:simplePos x="0" y="0"/>
                <wp:positionH relativeFrom="column">
                  <wp:posOffset>-226060</wp:posOffset>
                </wp:positionH>
                <wp:positionV relativeFrom="paragraph">
                  <wp:posOffset>445960</wp:posOffset>
                </wp:positionV>
                <wp:extent cx="6839585" cy="0"/>
                <wp:effectExtent l="0" t="19050" r="37465" b="19050"/>
                <wp:wrapNone/>
                <wp:docPr id="288" name="Rovná spojnica 2"/>
                <wp:cNvGraphicFramePr/>
                <a:graphic xmlns:a="http://schemas.openxmlformats.org/drawingml/2006/main">
                  <a:graphicData uri="http://schemas.microsoft.com/office/word/2010/wordprocessingShape">
                    <wps:wsp>
                      <wps:cNvCnPr/>
                      <wps:spPr>
                        <a:xfrm>
                          <a:off x="0" y="0"/>
                          <a:ext cx="6839585" cy="0"/>
                        </a:xfrm>
                        <a:prstGeom prst="line">
                          <a:avLst/>
                        </a:prstGeom>
                        <a:ln w="38100">
                          <a:solidFill>
                            <a:srgbClr val="FFA300"/>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anchor>
            </w:drawing>
          </mc:Choice>
          <mc:Fallback>
            <w:pict>
              <v:line w14:anchorId="7447FA1F" id="Rovná spojnica 2" o:spid="_x0000_s1026" style="position:absolute;z-index:251653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8pt,35.1pt" to="520.75pt,3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" strokecolor="#ffa300" strokeweight="3pt">
                <v:stroke joinstyle="miter"/>
              </v:line>
            </w:pict>
          </mc:Fallback>
        </mc:AlternateContent>
      </w:r>
    </w:p>
    <w:p w14:paraId="2194123A" w14:textId="77777777" w:rsidR="00351D45" w:rsidRDefault="00351D45" w:rsidP="00B407FA">
      <w:pPr>
        <w:pStyle w:val="Odsekzoznamu1"/>
        <w:spacing w:after="0" w:line="240" w:lineRule="auto"/>
        <w:ind w:left="0"/>
        <w:rPr>
          <w:b/>
          <w:bCs/>
          <w:sz w:val="72"/>
        </w:rPr>
      </w:pPr>
    </w:p>
    <w:p w14:paraId="488C0A58" w14:textId="4D2DDFF3" w:rsidR="00351D45" w:rsidRPr="00D45904" w:rsidRDefault="0065560C" w:rsidP="00B407FA">
      <w:pPr>
        <w:pStyle w:val="Odsekzoznamu1"/>
        <w:spacing w:after="0" w:line="240" w:lineRule="auto"/>
        <w:ind w:left="0"/>
        <w:jc w:val="center"/>
        <w:rPr>
          <w:b/>
          <w:bCs/>
          <w:color w:val="FF9900"/>
          <w:sz w:val="96"/>
          <w:szCs w:val="96"/>
          <w14:textOutline w14:w="9525" w14:cap="rnd" w14:cmpd="sng" w14:algn="ctr">
            <w14:noFill/>
            <w14:prstDash w14:val="solid"/>
            <w14:bevel/>
          </w14:textOutline>
        </w:rPr>
      </w:pPr>
      <w:r>
        <w:rPr>
          <w:b/>
          <w:bCs/>
          <w:color w:val="FF9900"/>
          <w:sz w:val="96"/>
          <w:szCs w:val="96"/>
          <w14:textOutline w14:w="9525" w14:cap="rnd" w14:cmpd="sng" w14:algn="ctr">
            <w14:noFill/>
            <w14:prstDash w14:val="solid"/>
            <w14:bevel/>
          </w14:textOutline>
        </w:rPr>
        <w:t>Výročná správa 201</w:t>
      </w:r>
      <w:r w:rsidR="0067580C">
        <w:rPr>
          <w:b/>
          <w:bCs/>
          <w:color w:val="FF9900"/>
          <w:sz w:val="96"/>
          <w:szCs w:val="96"/>
          <w14:textOutline w14:w="9525" w14:cap="rnd" w14:cmpd="sng" w14:algn="ctr">
            <w14:noFill/>
            <w14:prstDash w14:val="solid"/>
            <w14:bevel/>
          </w14:textOutline>
        </w:rPr>
        <w:t>7</w:t>
      </w:r>
    </w:p>
    <w:p w14:paraId="3F75B28D" w14:textId="77777777" w:rsidR="00F876CD" w:rsidRDefault="00F876CD">
      <w:pPr>
        <w:pStyle w:val="Hlavikaobsahu"/>
        <w:rPr>
          <w:noProof/>
        </w:rPr>
      </w:pPr>
    </w:p>
    <w:p w14:paraId="214FAA3C" w14:textId="77777777" w:rsidR="00F876CD" w:rsidRDefault="00F876CD">
      <w:pPr>
        <w:pStyle w:val="Hlavikaobsahu"/>
        <w:rPr>
          <w:noProof/>
        </w:rPr>
      </w:pPr>
    </w:p>
    <w:p w14:paraId="08427F91" w14:textId="77777777" w:rsidR="00F876CD" w:rsidRDefault="00F876CD">
      <w:pPr>
        <w:pStyle w:val="Hlavikaobsahu"/>
        <w:rPr>
          <w:color w:val="auto"/>
        </w:rPr>
        <w:sectPr w:rsidR="00F876CD" w:rsidSect="004F2CCC">
          <w:footerReference w:type="default" r:id="rId9"/>
          <w:pgSz w:w="11906" w:h="16838"/>
          <w:pgMar w:top="1417" w:right="1558" w:bottom="1417" w:left="1560" w:header="708" w:footer="708" w:gutter="0"/>
          <w:cols w:space="708"/>
          <w:docGrid w:linePitch="360"/>
        </w:sectPr>
      </w:pPr>
    </w:p>
    <w:p w14:paraId="7A2480E4" w14:textId="77777777" w:rsidR="00E874FD" w:rsidRPr="00E874FD" w:rsidRDefault="00E874FD">
      <w:pPr>
        <w:pStyle w:val="Hlavikaobsahu"/>
        <w:rPr>
          <w:color w:val="auto"/>
        </w:rPr>
      </w:pPr>
      <w:r w:rsidRPr="00E874FD">
        <w:rPr>
          <w:color w:val="auto"/>
        </w:rPr>
        <w:lastRenderedPageBreak/>
        <w:t>Obsah</w:t>
      </w:r>
    </w:p>
    <w:p w14:paraId="465A064E" w14:textId="77777777" w:rsidR="00CD3138" w:rsidRDefault="00E874FD">
      <w:pPr>
        <w:pStyle w:val="Obsah1"/>
        <w:rPr>
          <w:rFonts w:asciiTheme="minorHAnsi" w:eastAsiaTheme="minorEastAsia" w:hAnsiTheme="minorHAnsi" w:cstheme="minorBidi"/>
          <w:noProof/>
          <w:lang w:eastAsia="sk-SK"/>
        </w:rPr>
      </w:pPr>
      <w:r>
        <w:fldChar w:fldCharType="begin"/>
      </w:r>
      <w:r>
        <w:instrText xml:space="preserve"> TOC \o "1-3" \h \z \u </w:instrText>
      </w:r>
      <w:r>
        <w:fldChar w:fldCharType="separate"/>
      </w:r>
      <w:hyperlink w:anchor="_Toc514145309" w:history="1">
        <w:r w:rsidR="00CD3138" w:rsidRPr="0064575F">
          <w:rPr>
            <w:rStyle w:val="Hypertextovprepojenie"/>
            <w:noProof/>
          </w:rPr>
          <w:t>1.</w:t>
        </w:r>
        <w:r w:rsidR="00CD3138">
          <w:rPr>
            <w:rFonts w:asciiTheme="minorHAnsi" w:eastAsiaTheme="minorEastAsia" w:hAnsiTheme="minorHAnsi" w:cstheme="minorBidi"/>
            <w:noProof/>
            <w:lang w:eastAsia="sk-SK"/>
          </w:rPr>
          <w:tab/>
        </w:r>
        <w:r w:rsidR="00CD3138" w:rsidRPr="0064575F">
          <w:rPr>
            <w:rStyle w:val="Hypertextovprepojenie"/>
            <w:noProof/>
          </w:rPr>
          <w:t>Úvodná časť</w:t>
        </w:r>
        <w:r w:rsidR="00CD3138">
          <w:rPr>
            <w:noProof/>
            <w:webHidden/>
          </w:rPr>
          <w:tab/>
        </w:r>
        <w:r w:rsidR="00CD3138">
          <w:rPr>
            <w:noProof/>
            <w:webHidden/>
          </w:rPr>
          <w:fldChar w:fldCharType="begin"/>
        </w:r>
        <w:r w:rsidR="00CD3138">
          <w:rPr>
            <w:noProof/>
            <w:webHidden/>
          </w:rPr>
          <w:instrText xml:space="preserve"> PAGEREF _Toc514145309 \h </w:instrText>
        </w:r>
        <w:r w:rsidR="00CD3138">
          <w:rPr>
            <w:noProof/>
            <w:webHidden/>
          </w:rPr>
        </w:r>
        <w:r w:rsidR="00CD3138">
          <w:rPr>
            <w:noProof/>
            <w:webHidden/>
          </w:rPr>
          <w:fldChar w:fldCharType="separate"/>
        </w:r>
        <w:r w:rsidR="00CD3138">
          <w:rPr>
            <w:noProof/>
            <w:webHidden/>
          </w:rPr>
          <w:t>2</w:t>
        </w:r>
        <w:r w:rsidR="00CD3138">
          <w:rPr>
            <w:noProof/>
            <w:webHidden/>
          </w:rPr>
          <w:fldChar w:fldCharType="end"/>
        </w:r>
      </w:hyperlink>
    </w:p>
    <w:p w14:paraId="06B0AEF6" w14:textId="77777777" w:rsidR="00CD3138" w:rsidRDefault="00093306">
      <w:pPr>
        <w:pStyle w:val="Obsah1"/>
        <w:rPr>
          <w:rFonts w:asciiTheme="minorHAnsi" w:eastAsiaTheme="minorEastAsia" w:hAnsiTheme="minorHAnsi" w:cstheme="minorBidi"/>
          <w:noProof/>
          <w:lang w:eastAsia="sk-SK"/>
        </w:rPr>
      </w:pPr>
      <w:hyperlink w:anchor="_Toc514145310" w:history="1">
        <w:r w:rsidR="00CD3138" w:rsidRPr="0064575F">
          <w:rPr>
            <w:rStyle w:val="Hypertextovprepojenie"/>
            <w:noProof/>
          </w:rPr>
          <w:t>1.1.</w:t>
        </w:r>
        <w:r w:rsidR="00CD3138">
          <w:rPr>
            <w:rFonts w:asciiTheme="minorHAnsi" w:eastAsiaTheme="minorEastAsia" w:hAnsiTheme="minorHAnsi" w:cstheme="minorBidi"/>
            <w:noProof/>
            <w:lang w:eastAsia="sk-SK"/>
          </w:rPr>
          <w:tab/>
        </w:r>
        <w:r w:rsidR="00CD3138" w:rsidRPr="0064575F">
          <w:rPr>
            <w:rStyle w:val="Hypertextovprepojenie"/>
            <w:noProof/>
          </w:rPr>
          <w:t>Obchodné meno a sídlo spoločnosti</w:t>
        </w:r>
        <w:r w:rsidR="00CD3138">
          <w:rPr>
            <w:noProof/>
            <w:webHidden/>
          </w:rPr>
          <w:tab/>
        </w:r>
        <w:r w:rsidR="00CD3138">
          <w:rPr>
            <w:noProof/>
            <w:webHidden/>
          </w:rPr>
          <w:fldChar w:fldCharType="begin"/>
        </w:r>
        <w:r w:rsidR="00CD3138">
          <w:rPr>
            <w:noProof/>
            <w:webHidden/>
          </w:rPr>
          <w:instrText xml:space="preserve"> PAGEREF _Toc514145310 \h </w:instrText>
        </w:r>
        <w:r w:rsidR="00CD3138">
          <w:rPr>
            <w:noProof/>
            <w:webHidden/>
          </w:rPr>
        </w:r>
        <w:r w:rsidR="00CD3138">
          <w:rPr>
            <w:noProof/>
            <w:webHidden/>
          </w:rPr>
          <w:fldChar w:fldCharType="separate"/>
        </w:r>
        <w:r w:rsidR="00CD3138">
          <w:rPr>
            <w:noProof/>
            <w:webHidden/>
          </w:rPr>
          <w:t>2</w:t>
        </w:r>
        <w:r w:rsidR="00CD3138">
          <w:rPr>
            <w:noProof/>
            <w:webHidden/>
          </w:rPr>
          <w:fldChar w:fldCharType="end"/>
        </w:r>
      </w:hyperlink>
    </w:p>
    <w:p w14:paraId="4334D7ED" w14:textId="77777777" w:rsidR="00CD3138" w:rsidRDefault="00093306">
      <w:pPr>
        <w:pStyle w:val="Obsah1"/>
        <w:rPr>
          <w:rFonts w:asciiTheme="minorHAnsi" w:eastAsiaTheme="minorEastAsia" w:hAnsiTheme="minorHAnsi" w:cstheme="minorBidi"/>
          <w:noProof/>
          <w:lang w:eastAsia="sk-SK"/>
        </w:rPr>
      </w:pPr>
      <w:hyperlink w:anchor="_Toc514145311" w:history="1">
        <w:r w:rsidR="00CD3138" w:rsidRPr="0064575F">
          <w:rPr>
            <w:rStyle w:val="Hypertextovprepojenie"/>
            <w:noProof/>
          </w:rPr>
          <w:t>1.2.</w:t>
        </w:r>
        <w:r w:rsidR="00CD3138">
          <w:rPr>
            <w:rFonts w:asciiTheme="minorHAnsi" w:eastAsiaTheme="minorEastAsia" w:hAnsiTheme="minorHAnsi" w:cstheme="minorBidi"/>
            <w:noProof/>
            <w:lang w:eastAsia="sk-SK"/>
          </w:rPr>
          <w:tab/>
        </w:r>
        <w:r w:rsidR="00CD3138" w:rsidRPr="0064575F">
          <w:rPr>
            <w:rStyle w:val="Hypertextovprepojenie"/>
            <w:noProof/>
          </w:rPr>
          <w:t>Predmet činnosti</w:t>
        </w:r>
        <w:r w:rsidR="00CD3138">
          <w:rPr>
            <w:noProof/>
            <w:webHidden/>
          </w:rPr>
          <w:tab/>
        </w:r>
        <w:r w:rsidR="00CD3138">
          <w:rPr>
            <w:noProof/>
            <w:webHidden/>
          </w:rPr>
          <w:fldChar w:fldCharType="begin"/>
        </w:r>
        <w:r w:rsidR="00CD3138">
          <w:rPr>
            <w:noProof/>
            <w:webHidden/>
          </w:rPr>
          <w:instrText xml:space="preserve"> PAGEREF _Toc514145311 \h </w:instrText>
        </w:r>
        <w:r w:rsidR="00CD3138">
          <w:rPr>
            <w:noProof/>
            <w:webHidden/>
          </w:rPr>
        </w:r>
        <w:r w:rsidR="00CD3138">
          <w:rPr>
            <w:noProof/>
            <w:webHidden/>
          </w:rPr>
          <w:fldChar w:fldCharType="separate"/>
        </w:r>
        <w:r w:rsidR="00CD3138">
          <w:rPr>
            <w:noProof/>
            <w:webHidden/>
          </w:rPr>
          <w:t>3</w:t>
        </w:r>
        <w:r w:rsidR="00CD3138">
          <w:rPr>
            <w:noProof/>
            <w:webHidden/>
          </w:rPr>
          <w:fldChar w:fldCharType="end"/>
        </w:r>
      </w:hyperlink>
    </w:p>
    <w:p w14:paraId="5D4C80A7" w14:textId="77777777" w:rsidR="00CD3138" w:rsidRDefault="00093306">
      <w:pPr>
        <w:pStyle w:val="Obsah1"/>
        <w:rPr>
          <w:rFonts w:asciiTheme="minorHAnsi" w:eastAsiaTheme="minorEastAsia" w:hAnsiTheme="minorHAnsi" w:cstheme="minorBidi"/>
          <w:noProof/>
          <w:lang w:eastAsia="sk-SK"/>
        </w:rPr>
      </w:pPr>
      <w:hyperlink w:anchor="_Toc514145312" w:history="1">
        <w:r w:rsidR="00CD3138" w:rsidRPr="0064575F">
          <w:rPr>
            <w:rStyle w:val="Hypertextovprepojenie"/>
            <w:noProof/>
          </w:rPr>
          <w:t>1.3.</w:t>
        </w:r>
        <w:r w:rsidR="00CD3138">
          <w:rPr>
            <w:rFonts w:asciiTheme="minorHAnsi" w:eastAsiaTheme="minorEastAsia" w:hAnsiTheme="minorHAnsi" w:cstheme="minorBidi"/>
            <w:noProof/>
            <w:lang w:eastAsia="sk-SK"/>
          </w:rPr>
          <w:tab/>
        </w:r>
        <w:r w:rsidR="00CD3138" w:rsidRPr="0064575F">
          <w:rPr>
            <w:rStyle w:val="Hypertextovprepojenie"/>
            <w:noProof/>
          </w:rPr>
          <w:t>Orgány spoločnosti</w:t>
        </w:r>
        <w:r w:rsidR="00CD3138">
          <w:rPr>
            <w:noProof/>
            <w:webHidden/>
          </w:rPr>
          <w:tab/>
        </w:r>
        <w:r w:rsidR="00CD3138">
          <w:rPr>
            <w:noProof/>
            <w:webHidden/>
          </w:rPr>
          <w:fldChar w:fldCharType="begin"/>
        </w:r>
        <w:r w:rsidR="00CD3138">
          <w:rPr>
            <w:noProof/>
            <w:webHidden/>
          </w:rPr>
          <w:instrText xml:space="preserve"> PAGEREF _Toc514145312 \h </w:instrText>
        </w:r>
        <w:r w:rsidR="00CD3138">
          <w:rPr>
            <w:noProof/>
            <w:webHidden/>
          </w:rPr>
        </w:r>
        <w:r w:rsidR="00CD3138">
          <w:rPr>
            <w:noProof/>
            <w:webHidden/>
          </w:rPr>
          <w:fldChar w:fldCharType="separate"/>
        </w:r>
        <w:r w:rsidR="00CD3138">
          <w:rPr>
            <w:noProof/>
            <w:webHidden/>
          </w:rPr>
          <w:t>3</w:t>
        </w:r>
        <w:r w:rsidR="00CD3138">
          <w:rPr>
            <w:noProof/>
            <w:webHidden/>
          </w:rPr>
          <w:fldChar w:fldCharType="end"/>
        </w:r>
      </w:hyperlink>
    </w:p>
    <w:p w14:paraId="5AF0738A" w14:textId="77777777" w:rsidR="00CD3138" w:rsidRDefault="00093306">
      <w:pPr>
        <w:pStyle w:val="Obsah1"/>
        <w:rPr>
          <w:rFonts w:asciiTheme="minorHAnsi" w:eastAsiaTheme="minorEastAsia" w:hAnsiTheme="minorHAnsi" w:cstheme="minorBidi"/>
          <w:noProof/>
          <w:lang w:eastAsia="sk-SK"/>
        </w:rPr>
      </w:pPr>
      <w:hyperlink w:anchor="_Toc514145313" w:history="1">
        <w:r w:rsidR="00CD3138" w:rsidRPr="0064575F">
          <w:rPr>
            <w:rStyle w:val="Hypertextovprepojenie"/>
            <w:noProof/>
          </w:rPr>
          <w:t>1.4.</w:t>
        </w:r>
        <w:r w:rsidR="00CD3138">
          <w:rPr>
            <w:rFonts w:asciiTheme="minorHAnsi" w:eastAsiaTheme="minorEastAsia" w:hAnsiTheme="minorHAnsi" w:cstheme="minorBidi"/>
            <w:noProof/>
            <w:lang w:eastAsia="sk-SK"/>
          </w:rPr>
          <w:tab/>
        </w:r>
        <w:r w:rsidR="00CD3138" w:rsidRPr="0064575F">
          <w:rPr>
            <w:rStyle w:val="Hypertextovprepojenie"/>
            <w:noProof/>
          </w:rPr>
          <w:t>Organizačná štruktúra</w:t>
        </w:r>
        <w:r w:rsidR="00CD3138">
          <w:rPr>
            <w:noProof/>
            <w:webHidden/>
          </w:rPr>
          <w:tab/>
        </w:r>
        <w:r w:rsidR="00CD3138">
          <w:rPr>
            <w:noProof/>
            <w:webHidden/>
          </w:rPr>
          <w:fldChar w:fldCharType="begin"/>
        </w:r>
        <w:r w:rsidR="00CD3138">
          <w:rPr>
            <w:noProof/>
            <w:webHidden/>
          </w:rPr>
          <w:instrText xml:space="preserve"> PAGEREF _Toc514145313 \h </w:instrText>
        </w:r>
        <w:r w:rsidR="00CD3138">
          <w:rPr>
            <w:noProof/>
            <w:webHidden/>
          </w:rPr>
        </w:r>
        <w:r w:rsidR="00CD3138">
          <w:rPr>
            <w:noProof/>
            <w:webHidden/>
          </w:rPr>
          <w:fldChar w:fldCharType="separate"/>
        </w:r>
        <w:r w:rsidR="00CD3138">
          <w:rPr>
            <w:noProof/>
            <w:webHidden/>
          </w:rPr>
          <w:t>3</w:t>
        </w:r>
        <w:r w:rsidR="00CD3138">
          <w:rPr>
            <w:noProof/>
            <w:webHidden/>
          </w:rPr>
          <w:fldChar w:fldCharType="end"/>
        </w:r>
      </w:hyperlink>
    </w:p>
    <w:p w14:paraId="558D4C0C" w14:textId="77777777" w:rsidR="00CD3138" w:rsidRDefault="00093306">
      <w:pPr>
        <w:pStyle w:val="Obsah1"/>
        <w:rPr>
          <w:rFonts w:asciiTheme="minorHAnsi" w:eastAsiaTheme="minorEastAsia" w:hAnsiTheme="minorHAnsi" w:cstheme="minorBidi"/>
          <w:noProof/>
          <w:lang w:eastAsia="sk-SK"/>
        </w:rPr>
      </w:pPr>
      <w:hyperlink w:anchor="_Toc514145314" w:history="1">
        <w:r w:rsidR="00CD3138" w:rsidRPr="0064575F">
          <w:rPr>
            <w:rStyle w:val="Hypertextovprepojenie"/>
            <w:noProof/>
          </w:rPr>
          <w:t>1.5.</w:t>
        </w:r>
        <w:r w:rsidR="00CD3138">
          <w:rPr>
            <w:rFonts w:asciiTheme="minorHAnsi" w:eastAsiaTheme="minorEastAsia" w:hAnsiTheme="minorHAnsi" w:cstheme="minorBidi"/>
            <w:noProof/>
            <w:lang w:eastAsia="sk-SK"/>
          </w:rPr>
          <w:tab/>
        </w:r>
        <w:r w:rsidR="00CD3138" w:rsidRPr="0064575F">
          <w:rPr>
            <w:rStyle w:val="Hypertextovprepojenie"/>
            <w:noProof/>
          </w:rPr>
          <w:t>Iné dôležité informácie</w:t>
        </w:r>
        <w:r w:rsidR="00CD3138">
          <w:rPr>
            <w:noProof/>
            <w:webHidden/>
          </w:rPr>
          <w:tab/>
        </w:r>
        <w:r w:rsidR="00CD3138">
          <w:rPr>
            <w:noProof/>
            <w:webHidden/>
          </w:rPr>
          <w:fldChar w:fldCharType="begin"/>
        </w:r>
        <w:r w:rsidR="00CD3138">
          <w:rPr>
            <w:noProof/>
            <w:webHidden/>
          </w:rPr>
          <w:instrText xml:space="preserve"> PAGEREF _Toc514145314 \h </w:instrText>
        </w:r>
        <w:r w:rsidR="00CD3138">
          <w:rPr>
            <w:noProof/>
            <w:webHidden/>
          </w:rPr>
        </w:r>
        <w:r w:rsidR="00CD3138">
          <w:rPr>
            <w:noProof/>
            <w:webHidden/>
          </w:rPr>
          <w:fldChar w:fldCharType="separate"/>
        </w:r>
        <w:r w:rsidR="00CD3138">
          <w:rPr>
            <w:noProof/>
            <w:webHidden/>
          </w:rPr>
          <w:t>3</w:t>
        </w:r>
        <w:r w:rsidR="00CD3138">
          <w:rPr>
            <w:noProof/>
            <w:webHidden/>
          </w:rPr>
          <w:fldChar w:fldCharType="end"/>
        </w:r>
      </w:hyperlink>
    </w:p>
    <w:p w14:paraId="28AB5D2D" w14:textId="77777777" w:rsidR="00CD3138" w:rsidRDefault="00093306">
      <w:pPr>
        <w:pStyle w:val="Obsah1"/>
        <w:rPr>
          <w:rFonts w:asciiTheme="minorHAnsi" w:eastAsiaTheme="minorEastAsia" w:hAnsiTheme="minorHAnsi" w:cstheme="minorBidi"/>
          <w:noProof/>
          <w:lang w:eastAsia="sk-SK"/>
        </w:rPr>
      </w:pPr>
      <w:hyperlink w:anchor="_Toc514145315" w:history="1">
        <w:r w:rsidR="00CD3138" w:rsidRPr="0064575F">
          <w:rPr>
            <w:rStyle w:val="Hypertextovprepojenie"/>
            <w:noProof/>
          </w:rPr>
          <w:t>2.</w:t>
        </w:r>
        <w:r w:rsidR="00CD3138">
          <w:rPr>
            <w:rFonts w:asciiTheme="minorHAnsi" w:eastAsiaTheme="minorEastAsia" w:hAnsiTheme="minorHAnsi" w:cstheme="minorBidi"/>
            <w:noProof/>
            <w:lang w:eastAsia="sk-SK"/>
          </w:rPr>
          <w:tab/>
        </w:r>
        <w:r w:rsidR="00CD3138" w:rsidRPr="0064575F">
          <w:rPr>
            <w:rStyle w:val="Hypertextovprepojenie"/>
            <w:noProof/>
          </w:rPr>
          <w:t>Správa o činnosti spoločnosti</w:t>
        </w:r>
        <w:r w:rsidR="00CD3138">
          <w:rPr>
            <w:noProof/>
            <w:webHidden/>
          </w:rPr>
          <w:tab/>
        </w:r>
        <w:r w:rsidR="00CD3138">
          <w:rPr>
            <w:noProof/>
            <w:webHidden/>
          </w:rPr>
          <w:fldChar w:fldCharType="begin"/>
        </w:r>
        <w:r w:rsidR="00CD3138">
          <w:rPr>
            <w:noProof/>
            <w:webHidden/>
          </w:rPr>
          <w:instrText xml:space="preserve"> PAGEREF _Toc514145315 \h </w:instrText>
        </w:r>
        <w:r w:rsidR="00CD3138">
          <w:rPr>
            <w:noProof/>
            <w:webHidden/>
          </w:rPr>
        </w:r>
        <w:r w:rsidR="00CD3138">
          <w:rPr>
            <w:noProof/>
            <w:webHidden/>
          </w:rPr>
          <w:fldChar w:fldCharType="separate"/>
        </w:r>
        <w:r w:rsidR="00CD3138">
          <w:rPr>
            <w:noProof/>
            <w:webHidden/>
          </w:rPr>
          <w:t>4</w:t>
        </w:r>
        <w:r w:rsidR="00CD3138">
          <w:rPr>
            <w:noProof/>
            <w:webHidden/>
          </w:rPr>
          <w:fldChar w:fldCharType="end"/>
        </w:r>
      </w:hyperlink>
    </w:p>
    <w:p w14:paraId="512241A4" w14:textId="77777777" w:rsidR="00CD3138" w:rsidRDefault="00093306">
      <w:pPr>
        <w:pStyle w:val="Obsah1"/>
        <w:rPr>
          <w:rFonts w:asciiTheme="minorHAnsi" w:eastAsiaTheme="minorEastAsia" w:hAnsiTheme="minorHAnsi" w:cstheme="minorBidi"/>
          <w:noProof/>
          <w:lang w:eastAsia="sk-SK"/>
        </w:rPr>
      </w:pPr>
      <w:hyperlink w:anchor="_Toc514145316" w:history="1">
        <w:r w:rsidR="00CD3138" w:rsidRPr="0064575F">
          <w:rPr>
            <w:rStyle w:val="Hypertextovprepojenie"/>
            <w:noProof/>
          </w:rPr>
          <w:t>2.1.</w:t>
        </w:r>
        <w:r w:rsidR="00CD3138">
          <w:rPr>
            <w:rFonts w:asciiTheme="minorHAnsi" w:eastAsiaTheme="minorEastAsia" w:hAnsiTheme="minorHAnsi" w:cstheme="minorBidi"/>
            <w:noProof/>
            <w:lang w:eastAsia="sk-SK"/>
          </w:rPr>
          <w:tab/>
        </w:r>
        <w:r w:rsidR="00CD3138" w:rsidRPr="0064575F">
          <w:rPr>
            <w:rStyle w:val="Hypertextovprepojenie"/>
            <w:noProof/>
          </w:rPr>
          <w:t>Všeobecný hospodársky vývoj</w:t>
        </w:r>
        <w:r w:rsidR="00CD3138">
          <w:rPr>
            <w:noProof/>
            <w:webHidden/>
          </w:rPr>
          <w:tab/>
        </w:r>
        <w:r w:rsidR="00CD3138">
          <w:rPr>
            <w:noProof/>
            <w:webHidden/>
          </w:rPr>
          <w:fldChar w:fldCharType="begin"/>
        </w:r>
        <w:r w:rsidR="00CD3138">
          <w:rPr>
            <w:noProof/>
            <w:webHidden/>
          </w:rPr>
          <w:instrText xml:space="preserve"> PAGEREF _Toc514145316 \h </w:instrText>
        </w:r>
        <w:r w:rsidR="00CD3138">
          <w:rPr>
            <w:noProof/>
            <w:webHidden/>
          </w:rPr>
        </w:r>
        <w:r w:rsidR="00CD3138">
          <w:rPr>
            <w:noProof/>
            <w:webHidden/>
          </w:rPr>
          <w:fldChar w:fldCharType="separate"/>
        </w:r>
        <w:r w:rsidR="00CD3138">
          <w:rPr>
            <w:noProof/>
            <w:webHidden/>
          </w:rPr>
          <w:t>4</w:t>
        </w:r>
        <w:r w:rsidR="00CD3138">
          <w:rPr>
            <w:noProof/>
            <w:webHidden/>
          </w:rPr>
          <w:fldChar w:fldCharType="end"/>
        </w:r>
      </w:hyperlink>
    </w:p>
    <w:p w14:paraId="2A3D168F" w14:textId="77777777" w:rsidR="00CD3138" w:rsidRDefault="00093306">
      <w:pPr>
        <w:pStyle w:val="Obsah1"/>
        <w:rPr>
          <w:rFonts w:asciiTheme="minorHAnsi" w:eastAsiaTheme="minorEastAsia" w:hAnsiTheme="minorHAnsi" w:cstheme="minorBidi"/>
          <w:noProof/>
          <w:lang w:eastAsia="sk-SK"/>
        </w:rPr>
      </w:pPr>
      <w:hyperlink w:anchor="_Toc514145317" w:history="1">
        <w:r w:rsidR="00CD3138" w:rsidRPr="0064575F">
          <w:rPr>
            <w:rStyle w:val="Hypertextovprepojenie"/>
            <w:noProof/>
          </w:rPr>
          <w:t>2.2.</w:t>
        </w:r>
        <w:r w:rsidR="00CD3138">
          <w:rPr>
            <w:rFonts w:asciiTheme="minorHAnsi" w:eastAsiaTheme="minorEastAsia" w:hAnsiTheme="minorHAnsi" w:cstheme="minorBidi"/>
            <w:noProof/>
            <w:lang w:eastAsia="sk-SK"/>
          </w:rPr>
          <w:tab/>
        </w:r>
        <w:r w:rsidR="00CD3138" w:rsidRPr="0064575F">
          <w:rPr>
            <w:rStyle w:val="Hypertextovprepojenie"/>
            <w:noProof/>
          </w:rPr>
          <w:t>Vývoj na trhu a údaje o významných rizikách a neistotách</w:t>
        </w:r>
        <w:r w:rsidR="00CD3138">
          <w:rPr>
            <w:noProof/>
            <w:webHidden/>
          </w:rPr>
          <w:tab/>
        </w:r>
        <w:r w:rsidR="00CD3138">
          <w:rPr>
            <w:noProof/>
            <w:webHidden/>
          </w:rPr>
          <w:fldChar w:fldCharType="begin"/>
        </w:r>
        <w:r w:rsidR="00CD3138">
          <w:rPr>
            <w:noProof/>
            <w:webHidden/>
          </w:rPr>
          <w:instrText xml:space="preserve"> PAGEREF _Toc514145317 \h </w:instrText>
        </w:r>
        <w:r w:rsidR="00CD3138">
          <w:rPr>
            <w:noProof/>
            <w:webHidden/>
          </w:rPr>
        </w:r>
        <w:r w:rsidR="00CD3138">
          <w:rPr>
            <w:noProof/>
            <w:webHidden/>
          </w:rPr>
          <w:fldChar w:fldCharType="separate"/>
        </w:r>
        <w:r w:rsidR="00CD3138">
          <w:rPr>
            <w:noProof/>
            <w:webHidden/>
          </w:rPr>
          <w:t>4</w:t>
        </w:r>
        <w:r w:rsidR="00CD3138">
          <w:rPr>
            <w:noProof/>
            <w:webHidden/>
          </w:rPr>
          <w:fldChar w:fldCharType="end"/>
        </w:r>
      </w:hyperlink>
    </w:p>
    <w:p w14:paraId="04972799" w14:textId="77777777" w:rsidR="00CD3138" w:rsidRDefault="00093306">
      <w:pPr>
        <w:pStyle w:val="Obsah1"/>
        <w:rPr>
          <w:rFonts w:asciiTheme="minorHAnsi" w:eastAsiaTheme="minorEastAsia" w:hAnsiTheme="minorHAnsi" w:cstheme="minorBidi"/>
          <w:noProof/>
          <w:lang w:eastAsia="sk-SK"/>
        </w:rPr>
      </w:pPr>
      <w:hyperlink w:anchor="_Toc514145318" w:history="1">
        <w:r w:rsidR="00CD3138" w:rsidRPr="0064575F">
          <w:rPr>
            <w:rStyle w:val="Hypertextovprepojenie"/>
            <w:noProof/>
          </w:rPr>
          <w:t>2.3.</w:t>
        </w:r>
        <w:r w:rsidR="00CD3138">
          <w:rPr>
            <w:rFonts w:asciiTheme="minorHAnsi" w:eastAsiaTheme="minorEastAsia" w:hAnsiTheme="minorHAnsi" w:cstheme="minorBidi"/>
            <w:noProof/>
            <w:lang w:eastAsia="sk-SK"/>
          </w:rPr>
          <w:tab/>
        </w:r>
        <w:r w:rsidR="00CD3138" w:rsidRPr="0064575F">
          <w:rPr>
            <w:rStyle w:val="Hypertextovprepojenie"/>
            <w:noProof/>
          </w:rPr>
          <w:t>Hospodárenie spoločnosti</w:t>
        </w:r>
        <w:r w:rsidR="00CD3138">
          <w:rPr>
            <w:noProof/>
            <w:webHidden/>
          </w:rPr>
          <w:tab/>
        </w:r>
        <w:r w:rsidR="00CD3138">
          <w:rPr>
            <w:noProof/>
            <w:webHidden/>
          </w:rPr>
          <w:fldChar w:fldCharType="begin"/>
        </w:r>
        <w:r w:rsidR="00CD3138">
          <w:rPr>
            <w:noProof/>
            <w:webHidden/>
          </w:rPr>
          <w:instrText xml:space="preserve"> PAGEREF _Toc514145318 \h </w:instrText>
        </w:r>
        <w:r w:rsidR="00CD3138">
          <w:rPr>
            <w:noProof/>
            <w:webHidden/>
          </w:rPr>
        </w:r>
        <w:r w:rsidR="00CD3138">
          <w:rPr>
            <w:noProof/>
            <w:webHidden/>
          </w:rPr>
          <w:fldChar w:fldCharType="separate"/>
        </w:r>
        <w:r w:rsidR="00CD3138">
          <w:rPr>
            <w:noProof/>
            <w:webHidden/>
          </w:rPr>
          <w:t>4</w:t>
        </w:r>
        <w:r w:rsidR="00CD3138">
          <w:rPr>
            <w:noProof/>
            <w:webHidden/>
          </w:rPr>
          <w:fldChar w:fldCharType="end"/>
        </w:r>
      </w:hyperlink>
    </w:p>
    <w:p w14:paraId="35D6BC2D" w14:textId="77777777" w:rsidR="00CD3138" w:rsidRDefault="00093306">
      <w:pPr>
        <w:pStyle w:val="Obsah1"/>
        <w:rPr>
          <w:rFonts w:asciiTheme="minorHAnsi" w:eastAsiaTheme="minorEastAsia" w:hAnsiTheme="minorHAnsi" w:cstheme="minorBidi"/>
          <w:noProof/>
          <w:lang w:eastAsia="sk-SK"/>
        </w:rPr>
      </w:pPr>
      <w:hyperlink w:anchor="_Toc514145319" w:history="1">
        <w:r w:rsidR="00CD3138" w:rsidRPr="0064575F">
          <w:rPr>
            <w:rStyle w:val="Hypertextovprepojenie"/>
            <w:noProof/>
          </w:rPr>
          <w:t>2.3.1.</w:t>
        </w:r>
        <w:r w:rsidR="00CD3138">
          <w:rPr>
            <w:rFonts w:asciiTheme="minorHAnsi" w:eastAsiaTheme="minorEastAsia" w:hAnsiTheme="minorHAnsi" w:cstheme="minorBidi"/>
            <w:noProof/>
            <w:lang w:eastAsia="sk-SK"/>
          </w:rPr>
          <w:tab/>
        </w:r>
        <w:r w:rsidR="00CD3138" w:rsidRPr="0064575F">
          <w:rPr>
            <w:rStyle w:val="Hypertextovprepojenie"/>
            <w:noProof/>
          </w:rPr>
          <w:t>Výnosy</w:t>
        </w:r>
        <w:r w:rsidR="00CD3138">
          <w:rPr>
            <w:noProof/>
            <w:webHidden/>
          </w:rPr>
          <w:tab/>
        </w:r>
        <w:r w:rsidR="00CD3138">
          <w:rPr>
            <w:noProof/>
            <w:webHidden/>
          </w:rPr>
          <w:fldChar w:fldCharType="begin"/>
        </w:r>
        <w:r w:rsidR="00CD3138">
          <w:rPr>
            <w:noProof/>
            <w:webHidden/>
          </w:rPr>
          <w:instrText xml:space="preserve"> PAGEREF _Toc514145319 \h </w:instrText>
        </w:r>
        <w:r w:rsidR="00CD3138">
          <w:rPr>
            <w:noProof/>
            <w:webHidden/>
          </w:rPr>
        </w:r>
        <w:r w:rsidR="00CD3138">
          <w:rPr>
            <w:noProof/>
            <w:webHidden/>
          </w:rPr>
          <w:fldChar w:fldCharType="separate"/>
        </w:r>
        <w:r w:rsidR="00CD3138">
          <w:rPr>
            <w:noProof/>
            <w:webHidden/>
          </w:rPr>
          <w:t>4</w:t>
        </w:r>
        <w:r w:rsidR="00CD3138">
          <w:rPr>
            <w:noProof/>
            <w:webHidden/>
          </w:rPr>
          <w:fldChar w:fldCharType="end"/>
        </w:r>
      </w:hyperlink>
    </w:p>
    <w:p w14:paraId="09FDC88B" w14:textId="77777777" w:rsidR="00CD3138" w:rsidRDefault="00093306">
      <w:pPr>
        <w:pStyle w:val="Obsah1"/>
        <w:rPr>
          <w:rFonts w:asciiTheme="minorHAnsi" w:eastAsiaTheme="minorEastAsia" w:hAnsiTheme="minorHAnsi" w:cstheme="minorBidi"/>
          <w:noProof/>
          <w:lang w:eastAsia="sk-SK"/>
        </w:rPr>
      </w:pPr>
      <w:hyperlink w:anchor="_Toc514145320" w:history="1">
        <w:r w:rsidR="00CD3138" w:rsidRPr="0064575F">
          <w:rPr>
            <w:rStyle w:val="Hypertextovprepojenie"/>
            <w:noProof/>
          </w:rPr>
          <w:t>2.3.2.</w:t>
        </w:r>
        <w:r w:rsidR="00CD3138">
          <w:rPr>
            <w:rFonts w:asciiTheme="minorHAnsi" w:eastAsiaTheme="minorEastAsia" w:hAnsiTheme="minorHAnsi" w:cstheme="minorBidi"/>
            <w:noProof/>
            <w:lang w:eastAsia="sk-SK"/>
          </w:rPr>
          <w:tab/>
        </w:r>
        <w:r w:rsidR="00CD3138" w:rsidRPr="0064575F">
          <w:rPr>
            <w:rStyle w:val="Hypertextovprepojenie"/>
            <w:noProof/>
          </w:rPr>
          <w:t>Náklady</w:t>
        </w:r>
        <w:r w:rsidR="00CD3138">
          <w:rPr>
            <w:noProof/>
            <w:webHidden/>
          </w:rPr>
          <w:tab/>
        </w:r>
        <w:r w:rsidR="00CD3138">
          <w:rPr>
            <w:noProof/>
            <w:webHidden/>
          </w:rPr>
          <w:fldChar w:fldCharType="begin"/>
        </w:r>
        <w:r w:rsidR="00CD3138">
          <w:rPr>
            <w:noProof/>
            <w:webHidden/>
          </w:rPr>
          <w:instrText xml:space="preserve"> PAGEREF _Toc514145320 \h </w:instrText>
        </w:r>
        <w:r w:rsidR="00CD3138">
          <w:rPr>
            <w:noProof/>
            <w:webHidden/>
          </w:rPr>
        </w:r>
        <w:r w:rsidR="00CD3138">
          <w:rPr>
            <w:noProof/>
            <w:webHidden/>
          </w:rPr>
          <w:fldChar w:fldCharType="separate"/>
        </w:r>
        <w:r w:rsidR="00CD3138">
          <w:rPr>
            <w:noProof/>
            <w:webHidden/>
          </w:rPr>
          <w:t>5</w:t>
        </w:r>
        <w:r w:rsidR="00CD3138">
          <w:rPr>
            <w:noProof/>
            <w:webHidden/>
          </w:rPr>
          <w:fldChar w:fldCharType="end"/>
        </w:r>
      </w:hyperlink>
    </w:p>
    <w:p w14:paraId="680326D4" w14:textId="77777777" w:rsidR="00CD3138" w:rsidRDefault="00093306">
      <w:pPr>
        <w:pStyle w:val="Obsah1"/>
        <w:rPr>
          <w:rFonts w:asciiTheme="minorHAnsi" w:eastAsiaTheme="minorEastAsia" w:hAnsiTheme="minorHAnsi" w:cstheme="minorBidi"/>
          <w:noProof/>
          <w:lang w:eastAsia="sk-SK"/>
        </w:rPr>
      </w:pPr>
      <w:hyperlink w:anchor="_Toc514145321" w:history="1">
        <w:r w:rsidR="00CD3138" w:rsidRPr="0064575F">
          <w:rPr>
            <w:rStyle w:val="Hypertextovprepojenie"/>
            <w:noProof/>
          </w:rPr>
          <w:t>2.3.3.</w:t>
        </w:r>
        <w:r w:rsidR="00CD3138">
          <w:rPr>
            <w:rFonts w:asciiTheme="minorHAnsi" w:eastAsiaTheme="minorEastAsia" w:hAnsiTheme="minorHAnsi" w:cstheme="minorBidi"/>
            <w:noProof/>
            <w:lang w:eastAsia="sk-SK"/>
          </w:rPr>
          <w:tab/>
        </w:r>
        <w:r w:rsidR="00CD3138" w:rsidRPr="0064575F">
          <w:rPr>
            <w:rStyle w:val="Hypertextovprepojenie"/>
            <w:noProof/>
          </w:rPr>
          <w:t>Ľudské zdroje</w:t>
        </w:r>
        <w:r w:rsidR="00CD3138">
          <w:rPr>
            <w:noProof/>
            <w:webHidden/>
          </w:rPr>
          <w:tab/>
        </w:r>
        <w:r w:rsidR="00CD3138">
          <w:rPr>
            <w:noProof/>
            <w:webHidden/>
          </w:rPr>
          <w:fldChar w:fldCharType="begin"/>
        </w:r>
        <w:r w:rsidR="00CD3138">
          <w:rPr>
            <w:noProof/>
            <w:webHidden/>
          </w:rPr>
          <w:instrText xml:space="preserve"> PAGEREF _Toc514145321 \h </w:instrText>
        </w:r>
        <w:r w:rsidR="00CD3138">
          <w:rPr>
            <w:noProof/>
            <w:webHidden/>
          </w:rPr>
        </w:r>
        <w:r w:rsidR="00CD3138">
          <w:rPr>
            <w:noProof/>
            <w:webHidden/>
          </w:rPr>
          <w:fldChar w:fldCharType="separate"/>
        </w:r>
        <w:r w:rsidR="00CD3138">
          <w:rPr>
            <w:noProof/>
            <w:webHidden/>
          </w:rPr>
          <w:t>6</w:t>
        </w:r>
        <w:r w:rsidR="00CD3138">
          <w:rPr>
            <w:noProof/>
            <w:webHidden/>
          </w:rPr>
          <w:fldChar w:fldCharType="end"/>
        </w:r>
      </w:hyperlink>
    </w:p>
    <w:p w14:paraId="5BF584E8" w14:textId="77777777" w:rsidR="00CD3138" w:rsidRDefault="00093306">
      <w:pPr>
        <w:pStyle w:val="Obsah1"/>
        <w:rPr>
          <w:rFonts w:asciiTheme="minorHAnsi" w:eastAsiaTheme="minorEastAsia" w:hAnsiTheme="minorHAnsi" w:cstheme="minorBidi"/>
          <w:noProof/>
          <w:lang w:eastAsia="sk-SK"/>
        </w:rPr>
      </w:pPr>
      <w:hyperlink w:anchor="_Toc514145322" w:history="1">
        <w:r w:rsidR="00CD3138" w:rsidRPr="0064575F">
          <w:rPr>
            <w:rStyle w:val="Hypertextovprepojenie"/>
            <w:noProof/>
          </w:rPr>
          <w:t>2.3.4.</w:t>
        </w:r>
        <w:r w:rsidR="00CD3138">
          <w:rPr>
            <w:rFonts w:asciiTheme="minorHAnsi" w:eastAsiaTheme="minorEastAsia" w:hAnsiTheme="minorHAnsi" w:cstheme="minorBidi"/>
            <w:noProof/>
            <w:lang w:eastAsia="sk-SK"/>
          </w:rPr>
          <w:tab/>
        </w:r>
        <w:r w:rsidR="00CD3138" w:rsidRPr="0064575F">
          <w:rPr>
            <w:rStyle w:val="Hypertextovprepojenie"/>
            <w:noProof/>
          </w:rPr>
          <w:t>Finančná výkonnosť, finančné a prevádzkové výsledky</w:t>
        </w:r>
        <w:r w:rsidR="00CD3138">
          <w:rPr>
            <w:noProof/>
            <w:webHidden/>
          </w:rPr>
          <w:tab/>
        </w:r>
        <w:r w:rsidR="00CD3138">
          <w:rPr>
            <w:noProof/>
            <w:webHidden/>
          </w:rPr>
          <w:fldChar w:fldCharType="begin"/>
        </w:r>
        <w:r w:rsidR="00CD3138">
          <w:rPr>
            <w:noProof/>
            <w:webHidden/>
          </w:rPr>
          <w:instrText xml:space="preserve"> PAGEREF _Toc514145322 \h </w:instrText>
        </w:r>
        <w:r w:rsidR="00CD3138">
          <w:rPr>
            <w:noProof/>
            <w:webHidden/>
          </w:rPr>
        </w:r>
        <w:r w:rsidR="00CD3138">
          <w:rPr>
            <w:noProof/>
            <w:webHidden/>
          </w:rPr>
          <w:fldChar w:fldCharType="separate"/>
        </w:r>
        <w:r w:rsidR="00CD3138">
          <w:rPr>
            <w:noProof/>
            <w:webHidden/>
          </w:rPr>
          <w:t>7</w:t>
        </w:r>
        <w:r w:rsidR="00CD3138">
          <w:rPr>
            <w:noProof/>
            <w:webHidden/>
          </w:rPr>
          <w:fldChar w:fldCharType="end"/>
        </w:r>
      </w:hyperlink>
    </w:p>
    <w:p w14:paraId="74F895B7" w14:textId="77777777" w:rsidR="00CD3138" w:rsidRDefault="00093306">
      <w:pPr>
        <w:pStyle w:val="Obsah1"/>
        <w:rPr>
          <w:rFonts w:asciiTheme="minorHAnsi" w:eastAsiaTheme="minorEastAsia" w:hAnsiTheme="minorHAnsi" w:cstheme="minorBidi"/>
          <w:noProof/>
          <w:lang w:eastAsia="sk-SK"/>
        </w:rPr>
      </w:pPr>
      <w:hyperlink w:anchor="_Toc514145323" w:history="1">
        <w:r w:rsidR="00CD3138" w:rsidRPr="0064575F">
          <w:rPr>
            <w:rStyle w:val="Hypertextovprepojenie"/>
            <w:noProof/>
          </w:rPr>
          <w:t>2.4.</w:t>
        </w:r>
        <w:r w:rsidR="00CD3138">
          <w:rPr>
            <w:rFonts w:asciiTheme="minorHAnsi" w:eastAsiaTheme="minorEastAsia" w:hAnsiTheme="minorHAnsi" w:cstheme="minorBidi"/>
            <w:noProof/>
            <w:lang w:eastAsia="sk-SK"/>
          </w:rPr>
          <w:tab/>
        </w:r>
        <w:r w:rsidR="00CD3138" w:rsidRPr="0064575F">
          <w:rPr>
            <w:rStyle w:val="Hypertextovprepojenie"/>
            <w:noProof/>
          </w:rPr>
          <w:t>Návrh na rozdelenie zisku alebo na úhradu straty</w:t>
        </w:r>
        <w:r w:rsidR="00CD3138">
          <w:rPr>
            <w:noProof/>
            <w:webHidden/>
          </w:rPr>
          <w:tab/>
        </w:r>
        <w:r w:rsidR="00CD3138">
          <w:rPr>
            <w:noProof/>
            <w:webHidden/>
          </w:rPr>
          <w:fldChar w:fldCharType="begin"/>
        </w:r>
        <w:r w:rsidR="00CD3138">
          <w:rPr>
            <w:noProof/>
            <w:webHidden/>
          </w:rPr>
          <w:instrText xml:space="preserve"> PAGEREF _Toc514145323 \h </w:instrText>
        </w:r>
        <w:r w:rsidR="00CD3138">
          <w:rPr>
            <w:noProof/>
            <w:webHidden/>
          </w:rPr>
        </w:r>
        <w:r w:rsidR="00CD3138">
          <w:rPr>
            <w:noProof/>
            <w:webHidden/>
          </w:rPr>
          <w:fldChar w:fldCharType="separate"/>
        </w:r>
        <w:r w:rsidR="00CD3138">
          <w:rPr>
            <w:noProof/>
            <w:webHidden/>
          </w:rPr>
          <w:t>8</w:t>
        </w:r>
        <w:r w:rsidR="00CD3138">
          <w:rPr>
            <w:noProof/>
            <w:webHidden/>
          </w:rPr>
          <w:fldChar w:fldCharType="end"/>
        </w:r>
      </w:hyperlink>
    </w:p>
    <w:p w14:paraId="7F947AB9" w14:textId="77777777" w:rsidR="00CD3138" w:rsidRDefault="00093306">
      <w:pPr>
        <w:pStyle w:val="Obsah1"/>
        <w:rPr>
          <w:rFonts w:asciiTheme="minorHAnsi" w:eastAsiaTheme="minorEastAsia" w:hAnsiTheme="minorHAnsi" w:cstheme="minorBidi"/>
          <w:noProof/>
          <w:lang w:eastAsia="sk-SK"/>
        </w:rPr>
      </w:pPr>
      <w:hyperlink w:anchor="_Toc514145324" w:history="1">
        <w:r w:rsidR="00CD3138" w:rsidRPr="0064575F">
          <w:rPr>
            <w:rStyle w:val="Hypertextovprepojenie"/>
            <w:noProof/>
          </w:rPr>
          <w:t>2.5.</w:t>
        </w:r>
        <w:r w:rsidR="00CD3138">
          <w:rPr>
            <w:rFonts w:asciiTheme="minorHAnsi" w:eastAsiaTheme="minorEastAsia" w:hAnsiTheme="minorHAnsi" w:cstheme="minorBidi"/>
            <w:noProof/>
            <w:lang w:eastAsia="sk-SK"/>
          </w:rPr>
          <w:tab/>
        </w:r>
        <w:r w:rsidR="00CD3138" w:rsidRPr="0064575F">
          <w:rPr>
            <w:rStyle w:val="Hypertextovprepojenie"/>
            <w:noProof/>
          </w:rPr>
          <w:t>Výskum a vývoj</w:t>
        </w:r>
        <w:r w:rsidR="00CD3138">
          <w:rPr>
            <w:noProof/>
            <w:webHidden/>
          </w:rPr>
          <w:tab/>
        </w:r>
        <w:r w:rsidR="00CD3138">
          <w:rPr>
            <w:noProof/>
            <w:webHidden/>
          </w:rPr>
          <w:fldChar w:fldCharType="begin"/>
        </w:r>
        <w:r w:rsidR="00CD3138">
          <w:rPr>
            <w:noProof/>
            <w:webHidden/>
          </w:rPr>
          <w:instrText xml:space="preserve"> PAGEREF _Toc514145324 \h </w:instrText>
        </w:r>
        <w:r w:rsidR="00CD3138">
          <w:rPr>
            <w:noProof/>
            <w:webHidden/>
          </w:rPr>
        </w:r>
        <w:r w:rsidR="00CD3138">
          <w:rPr>
            <w:noProof/>
            <w:webHidden/>
          </w:rPr>
          <w:fldChar w:fldCharType="separate"/>
        </w:r>
        <w:r w:rsidR="00CD3138">
          <w:rPr>
            <w:noProof/>
            <w:webHidden/>
          </w:rPr>
          <w:t>8</w:t>
        </w:r>
        <w:r w:rsidR="00CD3138">
          <w:rPr>
            <w:noProof/>
            <w:webHidden/>
          </w:rPr>
          <w:fldChar w:fldCharType="end"/>
        </w:r>
      </w:hyperlink>
    </w:p>
    <w:p w14:paraId="7E35051D" w14:textId="77777777" w:rsidR="00CD3138" w:rsidRDefault="00093306">
      <w:pPr>
        <w:pStyle w:val="Obsah1"/>
        <w:rPr>
          <w:rFonts w:asciiTheme="minorHAnsi" w:eastAsiaTheme="minorEastAsia" w:hAnsiTheme="minorHAnsi" w:cstheme="minorBidi"/>
          <w:noProof/>
          <w:lang w:eastAsia="sk-SK"/>
        </w:rPr>
      </w:pPr>
      <w:hyperlink w:anchor="_Toc514145325" w:history="1">
        <w:r w:rsidR="00CD3138" w:rsidRPr="0064575F">
          <w:rPr>
            <w:rStyle w:val="Hypertextovprepojenie"/>
            <w:noProof/>
          </w:rPr>
          <w:t>2.6.</w:t>
        </w:r>
        <w:r w:rsidR="00CD3138">
          <w:rPr>
            <w:rFonts w:asciiTheme="minorHAnsi" w:eastAsiaTheme="minorEastAsia" w:hAnsiTheme="minorHAnsi" w:cstheme="minorBidi"/>
            <w:noProof/>
            <w:lang w:eastAsia="sk-SK"/>
          </w:rPr>
          <w:tab/>
        </w:r>
        <w:r w:rsidR="00CD3138" w:rsidRPr="0064575F">
          <w:rPr>
            <w:rStyle w:val="Hypertextovprepojenie"/>
            <w:noProof/>
          </w:rPr>
          <w:t>Životné prostredie</w:t>
        </w:r>
        <w:r w:rsidR="00CD3138">
          <w:rPr>
            <w:noProof/>
            <w:webHidden/>
          </w:rPr>
          <w:tab/>
        </w:r>
        <w:r w:rsidR="00CD3138">
          <w:rPr>
            <w:noProof/>
            <w:webHidden/>
          </w:rPr>
          <w:fldChar w:fldCharType="begin"/>
        </w:r>
        <w:r w:rsidR="00CD3138">
          <w:rPr>
            <w:noProof/>
            <w:webHidden/>
          </w:rPr>
          <w:instrText xml:space="preserve"> PAGEREF _Toc514145325 \h </w:instrText>
        </w:r>
        <w:r w:rsidR="00CD3138">
          <w:rPr>
            <w:noProof/>
            <w:webHidden/>
          </w:rPr>
        </w:r>
        <w:r w:rsidR="00CD3138">
          <w:rPr>
            <w:noProof/>
            <w:webHidden/>
          </w:rPr>
          <w:fldChar w:fldCharType="separate"/>
        </w:r>
        <w:r w:rsidR="00CD3138">
          <w:rPr>
            <w:noProof/>
            <w:webHidden/>
          </w:rPr>
          <w:t>8</w:t>
        </w:r>
        <w:r w:rsidR="00CD3138">
          <w:rPr>
            <w:noProof/>
            <w:webHidden/>
          </w:rPr>
          <w:fldChar w:fldCharType="end"/>
        </w:r>
      </w:hyperlink>
    </w:p>
    <w:p w14:paraId="531217C1" w14:textId="77777777" w:rsidR="00CD3138" w:rsidRDefault="00093306">
      <w:pPr>
        <w:pStyle w:val="Obsah1"/>
        <w:rPr>
          <w:rFonts w:asciiTheme="minorHAnsi" w:eastAsiaTheme="minorEastAsia" w:hAnsiTheme="minorHAnsi" w:cstheme="minorBidi"/>
          <w:noProof/>
          <w:lang w:eastAsia="sk-SK"/>
        </w:rPr>
      </w:pPr>
      <w:hyperlink w:anchor="_Toc514145326" w:history="1">
        <w:r w:rsidR="00CD3138" w:rsidRPr="0064575F">
          <w:rPr>
            <w:rStyle w:val="Hypertextovprepojenie"/>
            <w:noProof/>
          </w:rPr>
          <w:t>2.7.</w:t>
        </w:r>
        <w:r w:rsidR="00CD3138">
          <w:rPr>
            <w:rFonts w:asciiTheme="minorHAnsi" w:eastAsiaTheme="minorEastAsia" w:hAnsiTheme="minorHAnsi" w:cstheme="minorBidi"/>
            <w:noProof/>
            <w:lang w:eastAsia="sk-SK"/>
          </w:rPr>
          <w:tab/>
        </w:r>
        <w:r w:rsidR="00CD3138" w:rsidRPr="0064575F">
          <w:rPr>
            <w:rStyle w:val="Hypertextovprepojenie"/>
            <w:noProof/>
          </w:rPr>
          <w:t>Významné skutočnosti po termíne ročnej závierky</w:t>
        </w:r>
        <w:r w:rsidR="00CD3138">
          <w:rPr>
            <w:noProof/>
            <w:webHidden/>
          </w:rPr>
          <w:tab/>
        </w:r>
        <w:r w:rsidR="00CD3138">
          <w:rPr>
            <w:noProof/>
            <w:webHidden/>
          </w:rPr>
          <w:fldChar w:fldCharType="begin"/>
        </w:r>
        <w:r w:rsidR="00CD3138">
          <w:rPr>
            <w:noProof/>
            <w:webHidden/>
          </w:rPr>
          <w:instrText xml:space="preserve"> PAGEREF _Toc514145326 \h </w:instrText>
        </w:r>
        <w:r w:rsidR="00CD3138">
          <w:rPr>
            <w:noProof/>
            <w:webHidden/>
          </w:rPr>
        </w:r>
        <w:r w:rsidR="00CD3138">
          <w:rPr>
            <w:noProof/>
            <w:webHidden/>
          </w:rPr>
          <w:fldChar w:fldCharType="separate"/>
        </w:r>
        <w:r w:rsidR="00CD3138">
          <w:rPr>
            <w:noProof/>
            <w:webHidden/>
          </w:rPr>
          <w:t>8</w:t>
        </w:r>
        <w:r w:rsidR="00CD3138">
          <w:rPr>
            <w:noProof/>
            <w:webHidden/>
          </w:rPr>
          <w:fldChar w:fldCharType="end"/>
        </w:r>
      </w:hyperlink>
    </w:p>
    <w:p w14:paraId="78262871" w14:textId="77777777" w:rsidR="00CD3138" w:rsidRDefault="00093306">
      <w:pPr>
        <w:pStyle w:val="Obsah1"/>
        <w:rPr>
          <w:rFonts w:asciiTheme="minorHAnsi" w:eastAsiaTheme="minorEastAsia" w:hAnsiTheme="minorHAnsi" w:cstheme="minorBidi"/>
          <w:noProof/>
          <w:lang w:eastAsia="sk-SK"/>
        </w:rPr>
      </w:pPr>
      <w:hyperlink w:anchor="_Toc514145327" w:history="1">
        <w:r w:rsidR="00CD3138" w:rsidRPr="0064575F">
          <w:rPr>
            <w:rStyle w:val="Hypertextovprepojenie"/>
            <w:noProof/>
          </w:rPr>
          <w:t>3.</w:t>
        </w:r>
        <w:r w:rsidR="00CD3138">
          <w:rPr>
            <w:rFonts w:asciiTheme="minorHAnsi" w:eastAsiaTheme="minorEastAsia" w:hAnsiTheme="minorHAnsi" w:cstheme="minorBidi"/>
            <w:noProof/>
            <w:lang w:eastAsia="sk-SK"/>
          </w:rPr>
          <w:tab/>
        </w:r>
        <w:r w:rsidR="00CD3138" w:rsidRPr="0064575F">
          <w:rPr>
            <w:rStyle w:val="Hypertextovprepojenie"/>
            <w:noProof/>
          </w:rPr>
          <w:t>Výhľad spoločnosti</w:t>
        </w:r>
        <w:r w:rsidR="00CD3138">
          <w:rPr>
            <w:noProof/>
            <w:webHidden/>
          </w:rPr>
          <w:tab/>
        </w:r>
        <w:r w:rsidR="00CD3138">
          <w:rPr>
            <w:noProof/>
            <w:webHidden/>
          </w:rPr>
          <w:fldChar w:fldCharType="begin"/>
        </w:r>
        <w:r w:rsidR="00CD3138">
          <w:rPr>
            <w:noProof/>
            <w:webHidden/>
          </w:rPr>
          <w:instrText xml:space="preserve"> PAGEREF _Toc514145327 \h </w:instrText>
        </w:r>
        <w:r w:rsidR="00CD3138">
          <w:rPr>
            <w:noProof/>
            <w:webHidden/>
          </w:rPr>
        </w:r>
        <w:r w:rsidR="00CD3138">
          <w:rPr>
            <w:noProof/>
            <w:webHidden/>
          </w:rPr>
          <w:fldChar w:fldCharType="separate"/>
        </w:r>
        <w:r w:rsidR="00CD3138">
          <w:rPr>
            <w:noProof/>
            <w:webHidden/>
          </w:rPr>
          <w:t>8</w:t>
        </w:r>
        <w:r w:rsidR="00CD3138">
          <w:rPr>
            <w:noProof/>
            <w:webHidden/>
          </w:rPr>
          <w:fldChar w:fldCharType="end"/>
        </w:r>
      </w:hyperlink>
    </w:p>
    <w:p w14:paraId="66336D30" w14:textId="77777777" w:rsidR="00E874FD" w:rsidRDefault="00E874FD">
      <w:pPr>
        <w:rPr>
          <w:b/>
          <w:bCs/>
        </w:rPr>
      </w:pPr>
      <w:r>
        <w:rPr>
          <w:b/>
          <w:bCs/>
        </w:rPr>
        <w:fldChar w:fldCharType="end"/>
      </w:r>
    </w:p>
    <w:p w14:paraId="6AEA7561" w14:textId="77777777" w:rsidR="00CD3138" w:rsidRDefault="00CD3138">
      <w:pPr>
        <w:rPr>
          <w:b/>
          <w:bCs/>
        </w:rPr>
      </w:pPr>
    </w:p>
    <w:p w14:paraId="7A9B3673" w14:textId="77777777" w:rsidR="00CD3138" w:rsidRDefault="00CD3138">
      <w:pPr>
        <w:rPr>
          <w:b/>
          <w:bCs/>
        </w:rPr>
      </w:pPr>
    </w:p>
    <w:p w14:paraId="2F84D3D6" w14:textId="77777777" w:rsidR="00CD3138" w:rsidRDefault="00CD3138"/>
    <w:p w14:paraId="5243FEED" w14:textId="77777777" w:rsidR="00CC1D36" w:rsidRDefault="00CC1D36" w:rsidP="008B3545">
      <w:pPr>
        <w:pStyle w:val="Odsekzoznamu1"/>
        <w:spacing w:after="0" w:line="240" w:lineRule="auto"/>
        <w:ind w:left="360"/>
        <w:jc w:val="center"/>
        <w:rPr>
          <w:b/>
          <w:bCs/>
        </w:rPr>
      </w:pPr>
    </w:p>
    <w:p w14:paraId="1597A97C" w14:textId="77777777" w:rsidR="00EB34B1" w:rsidRPr="00CC1D36" w:rsidRDefault="00473146" w:rsidP="00CC1D36">
      <w:pPr>
        <w:pStyle w:val="Nadpis1"/>
        <w:numPr>
          <w:ilvl w:val="0"/>
          <w:numId w:val="7"/>
        </w:numPr>
        <w:rPr>
          <w:sz w:val="28"/>
        </w:rPr>
      </w:pPr>
      <w:bookmarkStart w:id="0" w:name="_Toc514145309"/>
      <w:r w:rsidRPr="00CC1D36">
        <w:rPr>
          <w:sz w:val="28"/>
        </w:rPr>
        <w:lastRenderedPageBreak/>
        <w:t>Úvodná časť</w:t>
      </w:r>
      <w:bookmarkEnd w:id="0"/>
    </w:p>
    <w:p w14:paraId="764DB649" w14:textId="77777777" w:rsidR="00473146" w:rsidRPr="00CC1D36" w:rsidRDefault="00473146" w:rsidP="00CC1D36">
      <w:pPr>
        <w:pStyle w:val="Nadpis1"/>
        <w:numPr>
          <w:ilvl w:val="1"/>
          <w:numId w:val="7"/>
        </w:numPr>
        <w:rPr>
          <w:sz w:val="24"/>
        </w:rPr>
      </w:pPr>
      <w:bookmarkStart w:id="1" w:name="_Toc514145310"/>
      <w:r w:rsidRPr="00CC1D36">
        <w:rPr>
          <w:sz w:val="24"/>
        </w:rPr>
        <w:t>Obchodné meno a sídlo spoločnosti</w:t>
      </w:r>
      <w:bookmarkEnd w:id="1"/>
    </w:p>
    <w:p w14:paraId="1E571039" w14:textId="77777777" w:rsidR="00473146" w:rsidRPr="00CC1D36" w:rsidRDefault="00473146" w:rsidP="003B26B3">
      <w:pPr>
        <w:pStyle w:val="Odsekzoznamu1"/>
        <w:spacing w:after="0" w:line="240" w:lineRule="auto"/>
        <w:ind w:left="851"/>
      </w:pPr>
      <w:r>
        <w:t>Názov:</w:t>
      </w:r>
      <w:r>
        <w:tab/>
      </w:r>
      <w:r w:rsidR="00826453">
        <w:t>ENERGOCHEMICA TRADING a.</w:t>
      </w:r>
      <w:r w:rsidR="00E822A7">
        <w:t xml:space="preserve"> </w:t>
      </w:r>
      <w:r w:rsidR="00826453">
        <w:t>s.</w:t>
      </w:r>
    </w:p>
    <w:p w14:paraId="2497D6D0" w14:textId="0CD9721F" w:rsidR="00473146" w:rsidRPr="003966C8" w:rsidRDefault="00473146" w:rsidP="002A67E7">
      <w:pPr>
        <w:pStyle w:val="Odsekzoznamu1"/>
        <w:spacing w:after="0" w:line="240" w:lineRule="auto"/>
        <w:ind w:left="851"/>
      </w:pPr>
      <w:r w:rsidRPr="00CC1D36">
        <w:t>Sídlo:</w:t>
      </w:r>
      <w:r w:rsidRPr="00CC1D36">
        <w:tab/>
      </w:r>
      <w:r w:rsidR="003B26B3">
        <w:tab/>
      </w:r>
      <w:r w:rsidR="003966C8" w:rsidRPr="003966C8">
        <w:t>Pribinova 25</w:t>
      </w:r>
      <w:r w:rsidR="003966C8">
        <w:t xml:space="preserve">, </w:t>
      </w:r>
      <w:r w:rsidR="003966C8" w:rsidRPr="003966C8">
        <w:t>811 09 Bratislava</w:t>
      </w:r>
    </w:p>
    <w:p w14:paraId="7018BB28" w14:textId="77777777" w:rsidR="00EB34B1" w:rsidRPr="00CC1D36" w:rsidRDefault="00473146" w:rsidP="003B26B3">
      <w:pPr>
        <w:pStyle w:val="Odsekzoznamu1"/>
        <w:spacing w:after="0" w:line="240" w:lineRule="auto"/>
        <w:ind w:left="851"/>
      </w:pPr>
      <w:r w:rsidRPr="00CC1D36">
        <w:t>IČO:</w:t>
      </w:r>
      <w:r w:rsidR="006846A4" w:rsidRPr="00CC1D36">
        <w:tab/>
      </w:r>
      <w:r w:rsidRPr="00CC1D36">
        <w:tab/>
      </w:r>
      <w:r w:rsidR="00241BDE">
        <w:t>46 798 072</w:t>
      </w:r>
    </w:p>
    <w:p w14:paraId="7FD0E650" w14:textId="77777777" w:rsidR="00473146" w:rsidRPr="00CC1D36" w:rsidRDefault="00473146" w:rsidP="00CC1D36">
      <w:pPr>
        <w:pStyle w:val="Nadpis1"/>
        <w:numPr>
          <w:ilvl w:val="1"/>
          <w:numId w:val="7"/>
        </w:numPr>
        <w:rPr>
          <w:sz w:val="24"/>
        </w:rPr>
      </w:pPr>
      <w:bookmarkStart w:id="2" w:name="_Toc514145311"/>
      <w:r w:rsidRPr="00CC1D36">
        <w:rPr>
          <w:sz w:val="24"/>
        </w:rPr>
        <w:t>Predmet činnosti</w:t>
      </w:r>
      <w:bookmarkEnd w:id="2"/>
    </w:p>
    <w:p w14:paraId="0C2083C7" w14:textId="037C4B68" w:rsidR="003B26FE" w:rsidRDefault="003B26FE" w:rsidP="003B26B3">
      <w:pPr>
        <w:spacing w:after="0" w:line="240" w:lineRule="auto"/>
        <w:ind w:left="851"/>
        <w:jc w:val="both"/>
      </w:pPr>
      <w:r w:rsidRPr="003B26FE">
        <w:t>ENERGOCHEMICA TRADING a.</w:t>
      </w:r>
      <w:r w:rsidR="00E822A7">
        <w:t xml:space="preserve"> </w:t>
      </w:r>
      <w:r w:rsidRPr="003B26FE">
        <w:t>s. vznikla 23.</w:t>
      </w:r>
      <w:r w:rsidR="008666D7">
        <w:t xml:space="preserve"> </w:t>
      </w:r>
      <w:r w:rsidR="00735251">
        <w:t>augusta</w:t>
      </w:r>
      <w:r w:rsidR="008666D7">
        <w:t xml:space="preserve"> </w:t>
      </w:r>
      <w:r w:rsidRPr="003B26FE">
        <w:t>2012, zápisom v OR SR. Medzi jej hlavné aktivity patrí sprostredkovanie predaja chemickej výroby spoločností zo skupiny ENERGOCHEMICA SE, sprostredkovanie nákupu hlavných surovín, obchodovanie s plynom a</w:t>
      </w:r>
      <w:r w:rsidR="002959F5">
        <w:t> </w:t>
      </w:r>
      <w:r w:rsidRPr="003B26FE">
        <w:t>elektrinou</w:t>
      </w:r>
      <w:r w:rsidR="002959F5">
        <w:t xml:space="preserve">, </w:t>
      </w:r>
      <w:r w:rsidRPr="003B26FE">
        <w:t>zabezpečenie spoločnej dátovej infraštruktúry</w:t>
      </w:r>
      <w:r w:rsidR="002959F5">
        <w:t xml:space="preserve"> </w:t>
      </w:r>
      <w:r w:rsidRPr="003B26FE">
        <w:t>jednotných informačných systémov.</w:t>
      </w:r>
    </w:p>
    <w:p w14:paraId="566C0E62" w14:textId="77777777" w:rsidR="00473146" w:rsidRPr="00CC1D36" w:rsidRDefault="00473146" w:rsidP="00CC1D36">
      <w:pPr>
        <w:pStyle w:val="Nadpis1"/>
        <w:numPr>
          <w:ilvl w:val="1"/>
          <w:numId w:val="7"/>
        </w:numPr>
        <w:rPr>
          <w:sz w:val="24"/>
        </w:rPr>
      </w:pPr>
      <w:bookmarkStart w:id="3" w:name="_Toc514145312"/>
      <w:r w:rsidRPr="00CC1D36">
        <w:rPr>
          <w:sz w:val="24"/>
        </w:rPr>
        <w:t>Orgány spoločnosti</w:t>
      </w:r>
      <w:bookmarkEnd w:id="3"/>
    </w:p>
    <w:p w14:paraId="0A709C13" w14:textId="77777777" w:rsidR="001E0812" w:rsidRDefault="001E0812" w:rsidP="003B26B3">
      <w:pPr>
        <w:spacing w:after="0" w:line="240" w:lineRule="auto"/>
        <w:ind w:left="851"/>
        <w:jc w:val="both"/>
      </w:pPr>
      <w:r w:rsidRPr="00451374">
        <w:t xml:space="preserve">Štatutárnym orgánom spoločnosti je </w:t>
      </w:r>
      <w:r w:rsidR="00451374" w:rsidRPr="00451374">
        <w:t xml:space="preserve">predstavenstvo. </w:t>
      </w:r>
    </w:p>
    <w:p w14:paraId="1D20298B" w14:textId="77777777" w:rsidR="009B248A" w:rsidRPr="007E36DE" w:rsidRDefault="009B248A" w:rsidP="003B26B3">
      <w:pPr>
        <w:spacing w:after="0" w:line="240" w:lineRule="auto"/>
        <w:ind w:left="851"/>
        <w:jc w:val="both"/>
        <w:rPr>
          <w:sz w:val="12"/>
          <w:szCs w:val="12"/>
        </w:rPr>
      </w:pPr>
    </w:p>
    <w:p w14:paraId="75E68C84" w14:textId="24C44F6A" w:rsidR="00EB34B1" w:rsidRPr="00451374" w:rsidRDefault="00451374" w:rsidP="003B26B3">
      <w:pPr>
        <w:tabs>
          <w:tab w:val="left" w:pos="4536"/>
        </w:tabs>
        <w:spacing w:after="0" w:line="240" w:lineRule="auto"/>
        <w:ind w:left="851"/>
        <w:jc w:val="both"/>
      </w:pPr>
      <w:r w:rsidRPr="00451374">
        <w:t>Zlože</w:t>
      </w:r>
      <w:r w:rsidR="008666D7">
        <w:t>nie predstavenstva k  31. 12. 201</w:t>
      </w:r>
      <w:r w:rsidR="0067580C">
        <w:t>7</w:t>
      </w:r>
      <w:r w:rsidR="003B26B3">
        <w:t>:</w:t>
      </w:r>
      <w:r w:rsidR="003B26B3">
        <w:tab/>
      </w:r>
      <w:r w:rsidR="00CC1D36" w:rsidRPr="00451374">
        <w:t>I</w:t>
      </w:r>
      <w:r w:rsidR="004B2EB0" w:rsidRPr="00451374">
        <w:t xml:space="preserve">ng. </w:t>
      </w:r>
      <w:r w:rsidRPr="00451374">
        <w:t>Ondrej Macko – predseda</w:t>
      </w:r>
    </w:p>
    <w:p w14:paraId="28A987AF" w14:textId="77777777" w:rsidR="00451374" w:rsidRPr="00451374" w:rsidRDefault="003B26B3" w:rsidP="003B26B3">
      <w:pPr>
        <w:pStyle w:val="Odsekzoznamu1"/>
        <w:tabs>
          <w:tab w:val="left" w:pos="4536"/>
        </w:tabs>
        <w:spacing w:after="0" w:line="240" w:lineRule="auto"/>
        <w:ind w:left="993" w:firstLine="423"/>
      </w:pPr>
      <w:r>
        <w:tab/>
      </w:r>
      <w:r w:rsidR="00451374" w:rsidRPr="00451374">
        <w:t>Ing. Martin Bartoš – člen</w:t>
      </w:r>
    </w:p>
    <w:p w14:paraId="0AC7156D" w14:textId="453C8BBF" w:rsidR="00451374" w:rsidRDefault="00451374" w:rsidP="003B26B3">
      <w:pPr>
        <w:pStyle w:val="Odsekzoznamu1"/>
        <w:tabs>
          <w:tab w:val="left" w:pos="4536"/>
        </w:tabs>
        <w:spacing w:after="0" w:line="240" w:lineRule="auto"/>
        <w:ind w:left="993" w:firstLine="423"/>
      </w:pPr>
      <w:r w:rsidRPr="00451374">
        <w:tab/>
      </w:r>
      <w:r w:rsidR="008666D7">
        <w:t>Ing.</w:t>
      </w:r>
      <w:r w:rsidR="0067580C">
        <w:t xml:space="preserve"> Boris Kreheľ </w:t>
      </w:r>
      <w:r w:rsidRPr="00451374">
        <w:t>– člen</w:t>
      </w:r>
      <w:r w:rsidR="001A6397">
        <w:t xml:space="preserve"> </w:t>
      </w:r>
      <w:r w:rsidR="0067580C">
        <w:t>( od 26.5.2017)</w:t>
      </w:r>
    </w:p>
    <w:p w14:paraId="20247F7E" w14:textId="3EC9EBF0" w:rsidR="0067580C" w:rsidRDefault="0067580C" w:rsidP="003B26B3">
      <w:pPr>
        <w:pStyle w:val="Odsekzoznamu1"/>
        <w:tabs>
          <w:tab w:val="left" w:pos="4536"/>
        </w:tabs>
        <w:spacing w:after="0" w:line="240" w:lineRule="auto"/>
        <w:ind w:left="993" w:firstLine="423"/>
      </w:pPr>
      <w:r>
        <w:tab/>
        <w:t>Ing. Jozef Balko – člen ( do 25.5.2017)</w:t>
      </w:r>
    </w:p>
    <w:p w14:paraId="58D5BC35" w14:textId="77777777" w:rsidR="00421C28" w:rsidRPr="007E36DE" w:rsidRDefault="00421C28" w:rsidP="007E36DE">
      <w:pPr>
        <w:pStyle w:val="Odsekzoznamu1"/>
        <w:tabs>
          <w:tab w:val="left" w:pos="4536"/>
        </w:tabs>
        <w:spacing w:after="0" w:line="240" w:lineRule="auto"/>
        <w:rPr>
          <w:sz w:val="12"/>
          <w:szCs w:val="12"/>
        </w:rPr>
      </w:pPr>
    </w:p>
    <w:p w14:paraId="1AA20FFA" w14:textId="52658B1A" w:rsidR="00421C28" w:rsidRDefault="00421C28" w:rsidP="007E36DE">
      <w:pPr>
        <w:spacing w:after="0" w:line="240" w:lineRule="auto"/>
        <w:ind w:left="851"/>
        <w:jc w:val="both"/>
      </w:pPr>
      <w:r>
        <w:t>Za spoločnosť konajú 2 členovia predstavenstva.</w:t>
      </w:r>
    </w:p>
    <w:p w14:paraId="128DA9B4" w14:textId="77777777" w:rsidR="00451374" w:rsidRPr="007E36DE" w:rsidRDefault="00451374" w:rsidP="003B26B3">
      <w:pPr>
        <w:spacing w:after="0" w:line="240" w:lineRule="auto"/>
        <w:ind w:left="851"/>
        <w:jc w:val="both"/>
        <w:rPr>
          <w:sz w:val="12"/>
          <w:szCs w:val="12"/>
        </w:rPr>
      </w:pPr>
    </w:p>
    <w:p w14:paraId="5FB40D38" w14:textId="77777777" w:rsidR="00451374" w:rsidRDefault="00451374" w:rsidP="003B26B3">
      <w:pPr>
        <w:spacing w:after="0" w:line="240" w:lineRule="auto"/>
        <w:ind w:left="851"/>
        <w:jc w:val="both"/>
      </w:pPr>
      <w:r w:rsidRPr="00451374">
        <w:t>Spoločnosť má dozornú ra</w:t>
      </w:r>
      <w:r w:rsidR="00337886">
        <w:t>du zloženú z troch členov</w:t>
      </w:r>
      <w:r w:rsidRPr="00451374">
        <w:t xml:space="preserve">. </w:t>
      </w:r>
    </w:p>
    <w:p w14:paraId="70CBF6C8" w14:textId="77777777" w:rsidR="00CD3138" w:rsidRDefault="00CD3138" w:rsidP="003B26B3">
      <w:pPr>
        <w:spacing w:after="0" w:line="240" w:lineRule="auto"/>
        <w:ind w:left="851"/>
        <w:jc w:val="both"/>
      </w:pPr>
    </w:p>
    <w:p w14:paraId="25166885" w14:textId="5BC74EC4" w:rsidR="0067580C" w:rsidRDefault="00CD3138" w:rsidP="00CD3138">
      <w:pPr>
        <w:pStyle w:val="Odsekzoznamu1"/>
        <w:tabs>
          <w:tab w:val="left" w:pos="4536"/>
        </w:tabs>
        <w:spacing w:after="0" w:line="240" w:lineRule="auto"/>
      </w:pPr>
      <w:r>
        <w:rPr>
          <w:sz w:val="12"/>
          <w:szCs w:val="12"/>
        </w:rPr>
        <w:t xml:space="preserve">    </w:t>
      </w:r>
      <w:r w:rsidR="00451374" w:rsidRPr="00451374">
        <w:t>Zloženie dozornej rady k 31.</w:t>
      </w:r>
      <w:r w:rsidR="008666D7">
        <w:t xml:space="preserve"> </w:t>
      </w:r>
      <w:r w:rsidR="00451374" w:rsidRPr="00451374">
        <w:t>12.</w:t>
      </w:r>
      <w:r w:rsidR="008666D7">
        <w:t xml:space="preserve"> 201</w:t>
      </w:r>
      <w:r w:rsidR="0067580C">
        <w:t>7</w:t>
      </w:r>
      <w:r w:rsidR="003B26B3">
        <w:t>:</w:t>
      </w:r>
      <w:r w:rsidR="003B26B3">
        <w:tab/>
      </w:r>
      <w:r w:rsidR="0067580C">
        <w:t xml:space="preserve">Ing. Jana Vráblová – člen </w:t>
      </w:r>
    </w:p>
    <w:p w14:paraId="0FE69B70" w14:textId="7AFDBB05" w:rsidR="0067580C" w:rsidRDefault="0067580C" w:rsidP="0067580C">
      <w:pPr>
        <w:pStyle w:val="Odsekzoznamu1"/>
        <w:tabs>
          <w:tab w:val="left" w:pos="4536"/>
        </w:tabs>
        <w:spacing w:after="0" w:line="240" w:lineRule="auto"/>
        <w:ind w:left="993"/>
      </w:pPr>
      <w:r>
        <w:tab/>
        <w:t>Vlasta Vlhová – člen (od 8.3.2017)</w:t>
      </w:r>
    </w:p>
    <w:p w14:paraId="3825985E" w14:textId="022A292E" w:rsidR="001A6397" w:rsidRDefault="0067580C" w:rsidP="0067580C">
      <w:pPr>
        <w:pStyle w:val="Odsekzoznamu1"/>
        <w:tabs>
          <w:tab w:val="left" w:pos="4536"/>
        </w:tabs>
        <w:spacing w:after="0" w:line="240" w:lineRule="auto"/>
        <w:ind w:left="993"/>
      </w:pPr>
      <w:r>
        <w:tab/>
      </w:r>
      <w:r w:rsidR="001A6397" w:rsidRPr="00451374">
        <w:t>Ing. Rastislav Počubay</w:t>
      </w:r>
      <w:r w:rsidR="000F7268">
        <w:t xml:space="preserve"> – </w:t>
      </w:r>
      <w:r w:rsidR="001266DD">
        <w:t>člen</w:t>
      </w:r>
    </w:p>
    <w:p w14:paraId="4F43E53D" w14:textId="586B266E" w:rsidR="00421C28" w:rsidRDefault="003B26B3" w:rsidP="00E911C8">
      <w:pPr>
        <w:pStyle w:val="Odsekzoznamu1"/>
        <w:tabs>
          <w:tab w:val="left" w:pos="4536"/>
        </w:tabs>
        <w:spacing w:after="0" w:line="240" w:lineRule="auto"/>
        <w:ind w:left="993"/>
      </w:pPr>
      <w:r>
        <w:tab/>
      </w:r>
      <w:r w:rsidR="000600F8">
        <w:t xml:space="preserve">Ing. Peter Planka </w:t>
      </w:r>
      <w:r w:rsidR="000F7268">
        <w:t xml:space="preserve"> – člen </w:t>
      </w:r>
      <w:r w:rsidR="0067580C">
        <w:t>(do 7.3.2017)</w:t>
      </w:r>
    </w:p>
    <w:p w14:paraId="7832839E" w14:textId="5FF00E2C" w:rsidR="00421C28" w:rsidRDefault="00421C28" w:rsidP="003B26B3">
      <w:pPr>
        <w:pStyle w:val="Odsekzoznamu1"/>
        <w:tabs>
          <w:tab w:val="left" w:pos="4536"/>
        </w:tabs>
        <w:spacing w:after="0" w:line="240" w:lineRule="auto"/>
        <w:ind w:left="993"/>
      </w:pPr>
      <w:r>
        <w:tab/>
      </w:r>
    </w:p>
    <w:p w14:paraId="2E4F5355" w14:textId="77777777" w:rsidR="001A6397" w:rsidRPr="007E36DE" w:rsidRDefault="001A6397" w:rsidP="003B26B3">
      <w:pPr>
        <w:spacing w:after="0" w:line="240" w:lineRule="auto"/>
        <w:ind w:left="851"/>
        <w:jc w:val="both"/>
        <w:rPr>
          <w:sz w:val="12"/>
          <w:szCs w:val="12"/>
        </w:rPr>
      </w:pPr>
    </w:p>
    <w:p w14:paraId="343C9D5A" w14:textId="77777777" w:rsidR="00451374" w:rsidRDefault="00451374" w:rsidP="003B26B3">
      <w:pPr>
        <w:spacing w:after="0" w:line="240" w:lineRule="auto"/>
        <w:ind w:left="851"/>
        <w:jc w:val="both"/>
      </w:pPr>
      <w:r w:rsidRPr="00451374">
        <w:t>Žiadne ďalšie orgány spoločnosť zriadené nemá.</w:t>
      </w:r>
      <w:r>
        <w:t xml:space="preserve"> </w:t>
      </w:r>
    </w:p>
    <w:p w14:paraId="146D4563" w14:textId="77777777" w:rsidR="00473146" w:rsidRPr="00736DE3" w:rsidRDefault="00473146" w:rsidP="00CC1D36">
      <w:pPr>
        <w:pStyle w:val="Nadpis1"/>
        <w:numPr>
          <w:ilvl w:val="1"/>
          <w:numId w:val="7"/>
        </w:numPr>
        <w:rPr>
          <w:sz w:val="24"/>
        </w:rPr>
      </w:pPr>
      <w:bookmarkStart w:id="4" w:name="_Toc484520234"/>
      <w:bookmarkStart w:id="5" w:name="_Toc514145313"/>
      <w:bookmarkEnd w:id="4"/>
      <w:r w:rsidRPr="00736DE3">
        <w:rPr>
          <w:sz w:val="24"/>
        </w:rPr>
        <w:t>Organizačná štruktúra</w:t>
      </w:r>
      <w:bookmarkEnd w:id="5"/>
    </w:p>
    <w:p w14:paraId="3F0BA994" w14:textId="41903FF4" w:rsidR="00CC1D36" w:rsidRDefault="00736DE3" w:rsidP="001A6397">
      <w:pPr>
        <w:pStyle w:val="Odsekzoznamu1"/>
        <w:spacing w:after="0" w:line="240" w:lineRule="auto"/>
        <w:ind w:left="0"/>
        <w:rPr>
          <w:bCs/>
          <w:color w:val="FF0000"/>
        </w:rPr>
      </w:pPr>
      <w:r w:rsidRPr="001678F2">
        <w:rPr>
          <w:noProof/>
          <w:lang w:eastAsia="sk-SK"/>
        </w:rPr>
        <w:drawing>
          <wp:inline distT="0" distB="0" distL="0" distR="0" wp14:anchorId="1680AE80" wp14:editId="11C1596C">
            <wp:extent cx="5580380" cy="2340610"/>
            <wp:effectExtent l="0" t="0" r="1270" b="2540"/>
            <wp:docPr id="588" name="Obrázok 5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80380" cy="2340610"/>
                    </a:xfrm>
                    <a:prstGeom prst="rect">
                      <a:avLst/>
                    </a:prstGeom>
                    <a:noFill/>
                    <a:ln>
                      <a:noFill/>
                    </a:ln>
                  </pic:spPr>
                </pic:pic>
              </a:graphicData>
            </a:graphic>
          </wp:inline>
        </w:drawing>
      </w:r>
    </w:p>
    <w:p w14:paraId="3D755899" w14:textId="77777777" w:rsidR="00B54EB5" w:rsidRDefault="00B54EB5" w:rsidP="00D42E23">
      <w:pPr>
        <w:pStyle w:val="Odsekzoznamu1"/>
        <w:spacing w:after="0" w:line="240" w:lineRule="auto"/>
        <w:ind w:left="426"/>
        <w:rPr>
          <w:noProof/>
          <w:lang w:eastAsia="sk-SK"/>
        </w:rPr>
      </w:pPr>
    </w:p>
    <w:p w14:paraId="59D4CA82" w14:textId="77777777" w:rsidR="00473146" w:rsidRPr="00CC1D36" w:rsidRDefault="00473146" w:rsidP="00CC1D36">
      <w:pPr>
        <w:pStyle w:val="Nadpis1"/>
        <w:numPr>
          <w:ilvl w:val="1"/>
          <w:numId w:val="7"/>
        </w:numPr>
        <w:rPr>
          <w:sz w:val="24"/>
        </w:rPr>
      </w:pPr>
      <w:bookmarkStart w:id="6" w:name="_Toc514145314"/>
      <w:r w:rsidRPr="00CC1D36">
        <w:rPr>
          <w:sz w:val="24"/>
        </w:rPr>
        <w:t>Iné dôležité inf</w:t>
      </w:r>
      <w:r w:rsidR="00CC1D36">
        <w:rPr>
          <w:sz w:val="24"/>
        </w:rPr>
        <w:t>ormácie</w:t>
      </w:r>
      <w:bookmarkEnd w:id="6"/>
    </w:p>
    <w:p w14:paraId="5369D0C4" w14:textId="77777777" w:rsidR="00202F4D" w:rsidRDefault="001E0812" w:rsidP="003B26B3">
      <w:pPr>
        <w:spacing w:after="0" w:line="240" w:lineRule="auto"/>
        <w:ind w:left="851"/>
        <w:jc w:val="both"/>
      </w:pPr>
      <w:r w:rsidRPr="00CC1D36">
        <w:t>Spo</w:t>
      </w:r>
      <w:r w:rsidR="00CC1D36" w:rsidRPr="00CC1D36">
        <w:t>ločnosť</w:t>
      </w:r>
      <w:r w:rsidR="00A111A0">
        <w:t xml:space="preserve"> nemá žiadnu organizačnú zložku </w:t>
      </w:r>
      <w:r w:rsidR="00202F4D">
        <w:t xml:space="preserve">v zahraničí, </w:t>
      </w:r>
      <w:r w:rsidR="00A111A0">
        <w:t xml:space="preserve">ani </w:t>
      </w:r>
      <w:r w:rsidR="003E0704">
        <w:t xml:space="preserve">nenadobudla žiadne vlastné </w:t>
      </w:r>
      <w:r w:rsidR="003E0704" w:rsidRPr="00411089">
        <w:t>podiely.</w:t>
      </w:r>
      <w:r w:rsidR="00CC1D36" w:rsidRPr="00411089">
        <w:t xml:space="preserve"> </w:t>
      </w:r>
    </w:p>
    <w:p w14:paraId="1D7ACC7E" w14:textId="77777777" w:rsidR="00202F4D" w:rsidRDefault="00202F4D" w:rsidP="003B26B3">
      <w:pPr>
        <w:spacing w:after="0" w:line="240" w:lineRule="auto"/>
        <w:ind w:left="851"/>
        <w:jc w:val="both"/>
      </w:pPr>
    </w:p>
    <w:p w14:paraId="0B03B6B9" w14:textId="71E145A4" w:rsidR="00202F4D" w:rsidRDefault="00411089" w:rsidP="003B26B3">
      <w:pPr>
        <w:spacing w:after="0" w:line="240" w:lineRule="auto"/>
        <w:ind w:left="851"/>
        <w:jc w:val="both"/>
      </w:pPr>
      <w:r w:rsidRPr="00411089">
        <w:t>Spoločnosť je k 31.</w:t>
      </w:r>
      <w:r w:rsidR="001A6397">
        <w:t xml:space="preserve"> </w:t>
      </w:r>
      <w:r w:rsidR="00735251">
        <w:t>decembru</w:t>
      </w:r>
      <w:r w:rsidR="001A6397">
        <w:t xml:space="preserve"> 201</w:t>
      </w:r>
      <w:r w:rsidR="0067580C">
        <w:t>7</w:t>
      </w:r>
      <w:r w:rsidRPr="00411089">
        <w:t xml:space="preserve"> spoločníkom s ručením obmedzeným </w:t>
      </w:r>
      <w:r w:rsidR="00451374" w:rsidRPr="00411089">
        <w:t>v</w:t>
      </w:r>
      <w:r w:rsidR="00202F4D">
        <w:t xml:space="preserve"> sesterskej </w:t>
      </w:r>
      <w:r w:rsidR="00451374" w:rsidRPr="00411089">
        <w:t xml:space="preserve">spoločnosti </w:t>
      </w:r>
      <w:r w:rsidRPr="00411089">
        <w:t xml:space="preserve">TP 2, s.r.o. s výškou vkladu </w:t>
      </w:r>
      <w:r w:rsidR="00E911C8" w:rsidRPr="006C5E53">
        <w:t>750</w:t>
      </w:r>
      <w:r w:rsidRPr="00E911C8">
        <w:t xml:space="preserve"> EUR</w:t>
      </w:r>
      <w:r w:rsidR="00202F4D">
        <w:t xml:space="preserve"> a podie</w:t>
      </w:r>
      <w:r w:rsidR="0067580C">
        <w:t>lom na hlasovacích právach 0,00348284</w:t>
      </w:r>
      <w:r w:rsidR="000F7268">
        <w:t xml:space="preserve"> </w:t>
      </w:r>
      <w:r w:rsidR="00202F4D">
        <w:t>%</w:t>
      </w:r>
      <w:r w:rsidR="00451374" w:rsidRPr="00411089">
        <w:t>.</w:t>
      </w:r>
      <w:r w:rsidR="008B270D" w:rsidRPr="00411089">
        <w:t xml:space="preserve"> </w:t>
      </w:r>
    </w:p>
    <w:p w14:paraId="28858C7C" w14:textId="77777777" w:rsidR="00202F4D" w:rsidRDefault="00202F4D" w:rsidP="003B26B3">
      <w:pPr>
        <w:spacing w:after="0" w:line="240" w:lineRule="auto"/>
        <w:ind w:left="851"/>
        <w:jc w:val="both"/>
      </w:pPr>
    </w:p>
    <w:p w14:paraId="266B2A25" w14:textId="77777777" w:rsidR="00217FF4" w:rsidRDefault="008B270D" w:rsidP="003B26B3">
      <w:pPr>
        <w:spacing w:after="0" w:line="240" w:lineRule="auto"/>
        <w:ind w:left="851"/>
        <w:jc w:val="both"/>
      </w:pPr>
      <w:r w:rsidRPr="00411089">
        <w:t>Spoločnosť nie je neobmedzene ručiacim spoločníkom v iných spoločnostiach.</w:t>
      </w:r>
    </w:p>
    <w:p w14:paraId="1BF79321" w14:textId="77777777" w:rsidR="001C3E40" w:rsidRDefault="001C3E40" w:rsidP="003B26B3">
      <w:pPr>
        <w:spacing w:after="0" w:line="240" w:lineRule="auto"/>
        <w:ind w:left="851"/>
        <w:jc w:val="both"/>
      </w:pPr>
    </w:p>
    <w:p w14:paraId="6040738D" w14:textId="239DE43B" w:rsidR="001C3E40" w:rsidRDefault="001C3E40" w:rsidP="003B26B3">
      <w:pPr>
        <w:spacing w:after="0" w:line="240" w:lineRule="auto"/>
        <w:ind w:left="851"/>
        <w:jc w:val="both"/>
      </w:pPr>
      <w:r w:rsidRPr="001C3E40">
        <w:t>V roku 2017 bol spoločnosti priznaný grant "D4E" vo výške 2 234 550 EUR na výskumný projekt. Spoločnosť načerpala v roku 2017 prvú finančnú tranžu v celkovej hodnote 603 328,50 EUR. V roku 2017 rozpustila z časového rozlíšenia sumu oprávnených výdavkov do výnosov proporcionálne podľa skutočnej hodnoty vynaložených nákladov vo výške 78 919,66 EUR.</w:t>
      </w:r>
    </w:p>
    <w:p w14:paraId="783C90A6" w14:textId="77777777" w:rsidR="000F247A" w:rsidRDefault="000F247A" w:rsidP="003B26B3">
      <w:pPr>
        <w:spacing w:after="0" w:line="240" w:lineRule="auto"/>
        <w:ind w:left="851"/>
        <w:jc w:val="both"/>
      </w:pPr>
    </w:p>
    <w:p w14:paraId="4E7C62C7" w14:textId="77777777" w:rsidR="00E86FE8" w:rsidRPr="00CC1D36" w:rsidRDefault="00CC1D36" w:rsidP="00CC1D36">
      <w:pPr>
        <w:pStyle w:val="Nadpis1"/>
        <w:numPr>
          <w:ilvl w:val="0"/>
          <w:numId w:val="7"/>
        </w:numPr>
        <w:rPr>
          <w:sz w:val="28"/>
        </w:rPr>
      </w:pPr>
      <w:bookmarkStart w:id="7" w:name="_Toc484520237"/>
      <w:bookmarkStart w:id="8" w:name="_Toc514145315"/>
      <w:bookmarkEnd w:id="7"/>
      <w:r w:rsidRPr="00CC1D36">
        <w:rPr>
          <w:sz w:val="28"/>
        </w:rPr>
        <w:t>Správa o činnosti spoločnosti</w:t>
      </w:r>
      <w:bookmarkEnd w:id="8"/>
    </w:p>
    <w:p w14:paraId="14E6422A" w14:textId="77777777" w:rsidR="00473146" w:rsidRDefault="00473146" w:rsidP="00CC1D36">
      <w:pPr>
        <w:pStyle w:val="Nadpis1"/>
        <w:numPr>
          <w:ilvl w:val="1"/>
          <w:numId w:val="7"/>
        </w:numPr>
        <w:rPr>
          <w:sz w:val="24"/>
        </w:rPr>
      </w:pPr>
      <w:bookmarkStart w:id="9" w:name="_Toc514145316"/>
      <w:r w:rsidRPr="007431B3">
        <w:rPr>
          <w:sz w:val="24"/>
        </w:rPr>
        <w:t>Všeobecný hospodársky vývoj</w:t>
      </w:r>
      <w:bookmarkEnd w:id="9"/>
      <w:r w:rsidRPr="007431B3">
        <w:rPr>
          <w:sz w:val="24"/>
        </w:rPr>
        <w:t xml:space="preserve"> </w:t>
      </w:r>
    </w:p>
    <w:p w14:paraId="6FE23A5C" w14:textId="77777777" w:rsidR="00392821" w:rsidRPr="0073366F" w:rsidRDefault="00392821" w:rsidP="00392821">
      <w:pPr>
        <w:pStyle w:val="Odsekzoznamu"/>
        <w:spacing w:after="0" w:line="240" w:lineRule="auto"/>
        <w:ind w:left="708"/>
        <w:jc w:val="both"/>
      </w:pPr>
      <w:r w:rsidRPr="0073366F">
        <w:t>Tržby chemického priemyslu na Slovensku sa v roku 2017 vyvíjali pozitívne. Bolo tomu tak vďaka rastúcemu dopytu zo strany automobilového priemyslu a rastúcej cene ropy.</w:t>
      </w:r>
    </w:p>
    <w:p w14:paraId="125E3BB1" w14:textId="24EA5F4A" w:rsidR="00AF735D" w:rsidRDefault="00392821" w:rsidP="00392821">
      <w:pPr>
        <w:pStyle w:val="Odsekzoznamu"/>
        <w:spacing w:after="0" w:line="240" w:lineRule="auto"/>
        <w:ind w:left="708"/>
        <w:jc w:val="both"/>
        <w:rPr>
          <w:rFonts w:ascii="Cambria" w:hAnsi="Cambria" w:cs="Times New Roman"/>
          <w:b/>
          <w:bCs/>
          <w:kern w:val="32"/>
          <w:sz w:val="24"/>
          <w:szCs w:val="32"/>
        </w:rPr>
      </w:pPr>
      <w:r w:rsidRPr="0073366F">
        <w:t>Vzhľadom na veľkosť ekonomiky SR a jej prepojenosť, trendy v Slovenskej republike kopírujú trendy európskeho chemického priemyslu. V oblasti produktov patriacich do predajného portfólia spoločnosti zaznamenal najvýznamnejší cenový nárast trh elektrolýznych výrobkov. Cenové pohyby vyplývali z odstavovania amalgámových elektrolýz, ktoré sú v zmysle legislatívnych požiadaviek EU nahrádzané elektrolýzami membránovými.</w:t>
      </w:r>
    </w:p>
    <w:p w14:paraId="193C7F25" w14:textId="79E99DF8" w:rsidR="00473146" w:rsidRDefault="00473146" w:rsidP="00CC1D36">
      <w:pPr>
        <w:pStyle w:val="Nadpis1"/>
        <w:numPr>
          <w:ilvl w:val="1"/>
          <w:numId w:val="7"/>
        </w:numPr>
        <w:rPr>
          <w:sz w:val="24"/>
        </w:rPr>
      </w:pPr>
      <w:bookmarkStart w:id="10" w:name="_Toc514145317"/>
      <w:r w:rsidRPr="007B3E98">
        <w:rPr>
          <w:sz w:val="24"/>
        </w:rPr>
        <w:t>Vývoj na trhu</w:t>
      </w:r>
      <w:r w:rsidR="00E822A7" w:rsidRPr="007B3E98">
        <w:rPr>
          <w:sz w:val="24"/>
        </w:rPr>
        <w:t xml:space="preserve"> a údaje o významných rizikách a</w:t>
      </w:r>
      <w:r w:rsidR="00C730AD">
        <w:rPr>
          <w:sz w:val="24"/>
        </w:rPr>
        <w:t> </w:t>
      </w:r>
      <w:r w:rsidR="00E822A7" w:rsidRPr="007B3E98">
        <w:rPr>
          <w:sz w:val="24"/>
        </w:rPr>
        <w:t>neistotách</w:t>
      </w:r>
      <w:bookmarkEnd w:id="10"/>
    </w:p>
    <w:p w14:paraId="1A92047C" w14:textId="77777777" w:rsidR="00392821" w:rsidRPr="0073366F" w:rsidRDefault="00392821" w:rsidP="00392821">
      <w:pPr>
        <w:spacing w:after="0" w:line="240" w:lineRule="auto"/>
        <w:ind w:left="792"/>
        <w:jc w:val="both"/>
      </w:pPr>
      <w:r w:rsidRPr="0073366F">
        <w:t>Celkovo možno označiť vyhliadky svetového chemického priemyslu za dobré. Aj v roku 2018 sa očakáva rast približne na úrovni 2,8 %. Ako v predchádzajúcom roku, najvyšší rast chemickej produkcie sa predpokladá v Číne a v Indii. V Slovenskej republike, v súlade s očakávaniami rastu HDP, by rast chemického priemyslu mohol dosiahnuť 4%. Na raste cien chemickej produkcie bude mať svoj podiel aj nárast cien vstupov, v roku 2018 predovšetkým elektrickej energie.</w:t>
      </w:r>
    </w:p>
    <w:p w14:paraId="6EC2C55D" w14:textId="7B5D3C79" w:rsidR="00392821" w:rsidRPr="0073366F" w:rsidRDefault="00392821" w:rsidP="00392821">
      <w:pPr>
        <w:spacing w:after="0" w:line="240" w:lineRule="auto"/>
        <w:ind w:left="142"/>
        <w:jc w:val="both"/>
      </w:pPr>
    </w:p>
    <w:p w14:paraId="411A6317" w14:textId="77777777" w:rsidR="00392821" w:rsidRPr="0073366F" w:rsidRDefault="00392821" w:rsidP="00392821">
      <w:pPr>
        <w:spacing w:after="0" w:line="240" w:lineRule="auto"/>
        <w:ind w:left="792"/>
        <w:jc w:val="both"/>
      </w:pPr>
      <w:r w:rsidRPr="0073366F">
        <w:t>Manažment spoločnosti priebežne vyhľadáva a vyhodnocuje nové možnosti rozvoja skupiny, optimalizuje proces predaja a eliminuje rezervy na strane nákupu. Aj v najbližšom období bude potrebné zameriavať pozornosť do oblasti HR, aby personálne zabezpečenie korešpondovalo s definovanou stratégiou.</w:t>
      </w:r>
    </w:p>
    <w:p w14:paraId="4EB2CEB2" w14:textId="580C9713" w:rsidR="00012DAD" w:rsidRPr="001C3E40" w:rsidRDefault="00392821" w:rsidP="00392821">
      <w:pPr>
        <w:pStyle w:val="Odsekzoznamu"/>
        <w:spacing w:after="0" w:line="240" w:lineRule="auto"/>
        <w:ind w:left="851"/>
        <w:jc w:val="both"/>
        <w:rPr>
          <w:rFonts w:eastAsia="Calibri" w:cs="Times New Roman"/>
          <w:sz w:val="24"/>
          <w:szCs w:val="24"/>
          <w:highlight w:val="green"/>
        </w:rPr>
      </w:pPr>
      <w:r w:rsidRPr="001C3E40">
        <w:rPr>
          <w:rFonts w:eastAsia="Calibri" w:cs="Times New Roman"/>
          <w:sz w:val="24"/>
          <w:szCs w:val="24"/>
          <w:highlight w:val="green"/>
        </w:rPr>
        <w:t xml:space="preserve"> </w:t>
      </w:r>
    </w:p>
    <w:p w14:paraId="57057D16" w14:textId="4F072EFD" w:rsidR="00473146" w:rsidRPr="007B3E98" w:rsidRDefault="00473146" w:rsidP="00CC1D36">
      <w:pPr>
        <w:pStyle w:val="Nadpis1"/>
        <w:numPr>
          <w:ilvl w:val="1"/>
          <w:numId w:val="7"/>
        </w:numPr>
        <w:rPr>
          <w:sz w:val="24"/>
        </w:rPr>
      </w:pPr>
      <w:bookmarkStart w:id="11" w:name="_Toc484520241"/>
      <w:bookmarkStart w:id="12" w:name="_Toc514145318"/>
      <w:bookmarkEnd w:id="11"/>
      <w:r w:rsidRPr="007B3E98">
        <w:rPr>
          <w:sz w:val="24"/>
        </w:rPr>
        <w:lastRenderedPageBreak/>
        <w:t>Hospodárenie spoločnosti</w:t>
      </w:r>
      <w:bookmarkEnd w:id="12"/>
    </w:p>
    <w:p w14:paraId="089C9906" w14:textId="77777777" w:rsidR="00473146" w:rsidRDefault="00241BDE" w:rsidP="00CC1D36">
      <w:pPr>
        <w:pStyle w:val="Nadpis1"/>
        <w:numPr>
          <w:ilvl w:val="2"/>
          <w:numId w:val="7"/>
        </w:numPr>
        <w:rPr>
          <w:sz w:val="24"/>
        </w:rPr>
      </w:pPr>
      <w:bookmarkStart w:id="13" w:name="_Toc514145319"/>
      <w:r>
        <w:rPr>
          <w:sz w:val="24"/>
        </w:rPr>
        <w:t>Výnosy</w:t>
      </w:r>
      <w:bookmarkEnd w:id="13"/>
    </w:p>
    <w:p w14:paraId="7AA74176" w14:textId="77777777" w:rsidR="00242649" w:rsidRPr="003B26B3" w:rsidRDefault="00242649" w:rsidP="00242649">
      <w:pPr>
        <w:pStyle w:val="Odsekzoznamu1"/>
        <w:spacing w:after="0" w:line="240" w:lineRule="auto"/>
        <w:ind w:left="993"/>
        <w:jc w:val="both"/>
        <w:rPr>
          <w:rFonts w:eastAsia="Calibri"/>
          <w:lang w:eastAsia="sk-SK"/>
        </w:rPr>
      </w:pPr>
    </w:p>
    <w:tbl>
      <w:tblPr>
        <w:tblStyle w:val="Mriekatabuky"/>
        <w:tblW w:w="7826" w:type="dxa"/>
        <w:tblInd w:w="993" w:type="dxa"/>
        <w:tblLayout w:type="fixed"/>
        <w:tblLook w:val="04A0" w:firstRow="1" w:lastRow="0" w:firstColumn="1" w:lastColumn="0" w:noHBand="0" w:noVBand="1"/>
      </w:tblPr>
      <w:tblGrid>
        <w:gridCol w:w="3572"/>
        <w:gridCol w:w="1418"/>
        <w:gridCol w:w="1418"/>
        <w:gridCol w:w="1418"/>
      </w:tblGrid>
      <w:tr w:rsidR="00242649" w14:paraId="7C6BDA24" w14:textId="77777777" w:rsidTr="007431CE">
        <w:tc>
          <w:tcPr>
            <w:tcW w:w="3572" w:type="dxa"/>
          </w:tcPr>
          <w:p w14:paraId="7D87343D" w14:textId="77777777" w:rsidR="00242649" w:rsidRDefault="00242649" w:rsidP="007431CE">
            <w:pPr>
              <w:pStyle w:val="Odsekzoznamu1"/>
              <w:spacing w:after="0" w:line="240" w:lineRule="auto"/>
              <w:ind w:left="0"/>
              <w:jc w:val="both"/>
              <w:rPr>
                <w:rFonts w:eastAsia="Calibri"/>
                <w:lang w:eastAsia="sk-SK"/>
              </w:rPr>
            </w:pPr>
            <w:r>
              <w:rPr>
                <w:b/>
              </w:rPr>
              <w:t>Typ výnosu v EUR</w:t>
            </w:r>
          </w:p>
        </w:tc>
        <w:tc>
          <w:tcPr>
            <w:tcW w:w="1418" w:type="dxa"/>
            <w:vAlign w:val="center"/>
          </w:tcPr>
          <w:p w14:paraId="46EC0969" w14:textId="4C8B9B9B" w:rsidR="00242649" w:rsidRPr="00C7629D" w:rsidRDefault="00242649" w:rsidP="004665FA">
            <w:pPr>
              <w:pStyle w:val="Odsekzoznamu1"/>
              <w:spacing w:after="0" w:line="240" w:lineRule="auto"/>
              <w:ind w:left="0"/>
              <w:jc w:val="center"/>
              <w:rPr>
                <w:b/>
              </w:rPr>
            </w:pPr>
            <w:r w:rsidRPr="00C7629D">
              <w:rPr>
                <w:b/>
              </w:rPr>
              <w:t>201</w:t>
            </w:r>
            <w:r w:rsidR="004665FA">
              <w:rPr>
                <w:b/>
              </w:rPr>
              <w:t>7</w:t>
            </w:r>
          </w:p>
        </w:tc>
        <w:tc>
          <w:tcPr>
            <w:tcW w:w="1418" w:type="dxa"/>
            <w:vAlign w:val="center"/>
          </w:tcPr>
          <w:p w14:paraId="6831E7B8" w14:textId="7F934B1F" w:rsidR="00242649" w:rsidRPr="00C7629D" w:rsidRDefault="00242649" w:rsidP="001C3E40">
            <w:pPr>
              <w:pStyle w:val="Odsekzoznamu1"/>
              <w:spacing w:after="0" w:line="240" w:lineRule="auto"/>
              <w:ind w:left="0"/>
              <w:jc w:val="center"/>
              <w:rPr>
                <w:b/>
              </w:rPr>
            </w:pPr>
            <w:r w:rsidRPr="00C7629D">
              <w:rPr>
                <w:b/>
              </w:rPr>
              <w:t>201</w:t>
            </w:r>
            <w:r w:rsidR="001C3E40">
              <w:rPr>
                <w:b/>
              </w:rPr>
              <w:t>6</w:t>
            </w:r>
          </w:p>
        </w:tc>
        <w:tc>
          <w:tcPr>
            <w:tcW w:w="1418" w:type="dxa"/>
            <w:vAlign w:val="center"/>
          </w:tcPr>
          <w:p w14:paraId="5D93713B" w14:textId="77777777" w:rsidR="00242649" w:rsidRPr="00C7629D" w:rsidRDefault="00242649" w:rsidP="007431CE">
            <w:pPr>
              <w:pStyle w:val="Odsekzoznamu1"/>
              <w:spacing w:after="0" w:line="240" w:lineRule="auto"/>
              <w:ind w:left="0"/>
              <w:jc w:val="center"/>
              <w:rPr>
                <w:b/>
              </w:rPr>
            </w:pPr>
            <w:r w:rsidRPr="00B262A0">
              <w:rPr>
                <w:b/>
              </w:rPr>
              <w:t>Zmena v %</w:t>
            </w:r>
          </w:p>
        </w:tc>
      </w:tr>
      <w:tr w:rsidR="001C3E40" w14:paraId="019C5D6A" w14:textId="77777777" w:rsidTr="007431CE">
        <w:tc>
          <w:tcPr>
            <w:tcW w:w="3572" w:type="dxa"/>
          </w:tcPr>
          <w:p w14:paraId="509CA4FE" w14:textId="77777777" w:rsidR="001C3E40" w:rsidRPr="00C7629D" w:rsidRDefault="001C3E40" w:rsidP="001C3E40">
            <w:pPr>
              <w:pStyle w:val="Odsekzoznamu1"/>
              <w:spacing w:after="0" w:line="240" w:lineRule="auto"/>
              <w:ind w:left="0"/>
            </w:pPr>
            <w:r>
              <w:t>Predaj tovaru</w:t>
            </w:r>
          </w:p>
        </w:tc>
        <w:tc>
          <w:tcPr>
            <w:tcW w:w="1418" w:type="dxa"/>
            <w:vAlign w:val="center"/>
          </w:tcPr>
          <w:p w14:paraId="24727F50" w14:textId="21A2E410" w:rsidR="001C3E40" w:rsidRDefault="004665FA" w:rsidP="001C3E40">
            <w:pPr>
              <w:spacing w:after="0" w:line="240" w:lineRule="auto"/>
              <w:jc w:val="right"/>
              <w:rPr>
                <w:rFonts w:cs="Times New Roman"/>
                <w:color w:val="000000"/>
                <w:lang w:eastAsia="sk-SK"/>
              </w:rPr>
            </w:pPr>
            <w:r>
              <w:rPr>
                <w:rFonts w:cs="Times New Roman"/>
                <w:color w:val="000000"/>
                <w:lang w:eastAsia="sk-SK"/>
              </w:rPr>
              <w:t>8 660 554</w:t>
            </w:r>
          </w:p>
        </w:tc>
        <w:tc>
          <w:tcPr>
            <w:tcW w:w="1418" w:type="dxa"/>
            <w:vAlign w:val="center"/>
          </w:tcPr>
          <w:p w14:paraId="578AEE23" w14:textId="42E687F4" w:rsidR="001C3E40" w:rsidRDefault="001C3E40" w:rsidP="001C3E40">
            <w:pPr>
              <w:spacing w:after="0" w:line="240" w:lineRule="auto"/>
              <w:jc w:val="right"/>
              <w:rPr>
                <w:rFonts w:cs="Times New Roman"/>
                <w:color w:val="000000"/>
                <w:lang w:eastAsia="sk-SK"/>
              </w:rPr>
            </w:pPr>
            <w:r>
              <w:rPr>
                <w:rFonts w:cs="Times New Roman"/>
                <w:color w:val="000000"/>
                <w:lang w:eastAsia="sk-SK"/>
              </w:rPr>
              <w:t>6 377 159</w:t>
            </w:r>
          </w:p>
        </w:tc>
        <w:tc>
          <w:tcPr>
            <w:tcW w:w="1418" w:type="dxa"/>
            <w:vAlign w:val="center"/>
          </w:tcPr>
          <w:p w14:paraId="07DE98E6" w14:textId="5CC787CA" w:rsidR="001C3E40" w:rsidRDefault="00B262A0" w:rsidP="001C3E40">
            <w:pPr>
              <w:spacing w:after="0" w:line="240" w:lineRule="auto"/>
              <w:jc w:val="right"/>
              <w:rPr>
                <w:color w:val="000000"/>
              </w:rPr>
            </w:pPr>
            <w:r>
              <w:rPr>
                <w:color w:val="000000"/>
              </w:rPr>
              <w:t>36 %</w:t>
            </w:r>
          </w:p>
        </w:tc>
      </w:tr>
      <w:tr w:rsidR="001C3E40" w14:paraId="3D6D32B3" w14:textId="77777777" w:rsidTr="007431CE">
        <w:tc>
          <w:tcPr>
            <w:tcW w:w="3572" w:type="dxa"/>
          </w:tcPr>
          <w:p w14:paraId="66B86547" w14:textId="77777777" w:rsidR="001C3E40" w:rsidRDefault="001C3E40" w:rsidP="001C3E40">
            <w:pPr>
              <w:pStyle w:val="Odsekzoznamu1"/>
              <w:spacing w:after="0" w:line="240" w:lineRule="auto"/>
              <w:ind w:left="0"/>
            </w:pPr>
            <w:r>
              <w:t>IT služby</w:t>
            </w:r>
          </w:p>
        </w:tc>
        <w:tc>
          <w:tcPr>
            <w:tcW w:w="1418" w:type="dxa"/>
            <w:vAlign w:val="center"/>
          </w:tcPr>
          <w:p w14:paraId="4B12305B" w14:textId="42D9259A" w:rsidR="001C3E40" w:rsidRDefault="004665FA" w:rsidP="001C3E40">
            <w:pPr>
              <w:spacing w:after="0" w:line="240" w:lineRule="auto"/>
              <w:jc w:val="right"/>
              <w:rPr>
                <w:color w:val="000000"/>
              </w:rPr>
            </w:pPr>
            <w:r>
              <w:rPr>
                <w:color w:val="000000"/>
              </w:rPr>
              <w:t>1 405 051</w:t>
            </w:r>
          </w:p>
        </w:tc>
        <w:tc>
          <w:tcPr>
            <w:tcW w:w="1418" w:type="dxa"/>
            <w:vAlign w:val="center"/>
          </w:tcPr>
          <w:p w14:paraId="13D5F704" w14:textId="20FA6A2B" w:rsidR="001C3E40" w:rsidRDefault="001C3E40" w:rsidP="001C3E40">
            <w:pPr>
              <w:spacing w:after="0" w:line="240" w:lineRule="auto"/>
              <w:jc w:val="right"/>
              <w:rPr>
                <w:color w:val="000000"/>
              </w:rPr>
            </w:pPr>
            <w:r>
              <w:rPr>
                <w:color w:val="000000"/>
              </w:rPr>
              <w:t>1 288 096</w:t>
            </w:r>
          </w:p>
        </w:tc>
        <w:tc>
          <w:tcPr>
            <w:tcW w:w="1418" w:type="dxa"/>
            <w:vAlign w:val="center"/>
          </w:tcPr>
          <w:p w14:paraId="127213C5" w14:textId="6DB12D97" w:rsidR="001C3E40" w:rsidRDefault="00B262A0" w:rsidP="001C3E40">
            <w:pPr>
              <w:spacing w:after="0" w:line="240" w:lineRule="auto"/>
              <w:jc w:val="right"/>
              <w:rPr>
                <w:color w:val="000000"/>
              </w:rPr>
            </w:pPr>
            <w:r>
              <w:rPr>
                <w:color w:val="000000"/>
              </w:rPr>
              <w:t>9 %</w:t>
            </w:r>
          </w:p>
        </w:tc>
      </w:tr>
      <w:tr w:rsidR="001C3E40" w14:paraId="5CDBDDF8" w14:textId="77777777" w:rsidTr="007431CE">
        <w:tc>
          <w:tcPr>
            <w:tcW w:w="3572" w:type="dxa"/>
          </w:tcPr>
          <w:p w14:paraId="213ED778" w14:textId="77777777" w:rsidR="001C3E40" w:rsidRPr="00C7629D" w:rsidRDefault="001C3E40" w:rsidP="001C3E40">
            <w:pPr>
              <w:pStyle w:val="Odsekzoznamu1"/>
              <w:spacing w:after="0" w:line="240" w:lineRule="auto"/>
              <w:ind w:left="0"/>
            </w:pPr>
            <w:r>
              <w:t>Sprostredkovanie predaja</w:t>
            </w:r>
          </w:p>
        </w:tc>
        <w:tc>
          <w:tcPr>
            <w:tcW w:w="1418" w:type="dxa"/>
            <w:vAlign w:val="center"/>
          </w:tcPr>
          <w:p w14:paraId="02DCD34A" w14:textId="4013F5A4" w:rsidR="001C3E40" w:rsidRDefault="004665FA" w:rsidP="001C3E40">
            <w:pPr>
              <w:spacing w:after="0" w:line="240" w:lineRule="auto"/>
              <w:jc w:val="right"/>
              <w:rPr>
                <w:color w:val="000000"/>
              </w:rPr>
            </w:pPr>
            <w:r>
              <w:rPr>
                <w:color w:val="000000"/>
              </w:rPr>
              <w:t>7 608 564</w:t>
            </w:r>
          </w:p>
        </w:tc>
        <w:tc>
          <w:tcPr>
            <w:tcW w:w="1418" w:type="dxa"/>
            <w:vAlign w:val="center"/>
          </w:tcPr>
          <w:p w14:paraId="6CA2764D" w14:textId="41C7B4E2" w:rsidR="001C3E40" w:rsidRDefault="001C3E40" w:rsidP="001C3E40">
            <w:pPr>
              <w:spacing w:after="0" w:line="240" w:lineRule="auto"/>
              <w:jc w:val="right"/>
              <w:rPr>
                <w:color w:val="000000"/>
              </w:rPr>
            </w:pPr>
            <w:r>
              <w:rPr>
                <w:color w:val="000000"/>
              </w:rPr>
              <w:t>6 740 267</w:t>
            </w:r>
          </w:p>
        </w:tc>
        <w:tc>
          <w:tcPr>
            <w:tcW w:w="1418" w:type="dxa"/>
            <w:vAlign w:val="center"/>
          </w:tcPr>
          <w:p w14:paraId="2FA15F90" w14:textId="412EF88F" w:rsidR="001C3E40" w:rsidRDefault="00B262A0" w:rsidP="001C3E40">
            <w:pPr>
              <w:spacing w:after="0" w:line="240" w:lineRule="auto"/>
              <w:jc w:val="right"/>
              <w:rPr>
                <w:color w:val="000000"/>
              </w:rPr>
            </w:pPr>
            <w:r>
              <w:rPr>
                <w:color w:val="000000"/>
              </w:rPr>
              <w:t>13 %</w:t>
            </w:r>
          </w:p>
        </w:tc>
      </w:tr>
      <w:tr w:rsidR="001C3E40" w14:paraId="6C2A66D4" w14:textId="77777777" w:rsidTr="007431CE">
        <w:tc>
          <w:tcPr>
            <w:tcW w:w="3572" w:type="dxa"/>
          </w:tcPr>
          <w:p w14:paraId="359C0E29" w14:textId="31B7B626" w:rsidR="001C3E40" w:rsidRDefault="001C3E40" w:rsidP="001C3E40">
            <w:pPr>
              <w:pStyle w:val="Odsekzoznamu1"/>
              <w:spacing w:after="0" w:line="240" w:lineRule="auto"/>
              <w:ind w:left="0"/>
            </w:pPr>
            <w:r>
              <w:t>Aktivácia</w:t>
            </w:r>
          </w:p>
        </w:tc>
        <w:tc>
          <w:tcPr>
            <w:tcW w:w="1418" w:type="dxa"/>
            <w:vAlign w:val="center"/>
          </w:tcPr>
          <w:p w14:paraId="3ED7F87C" w14:textId="7C537FEB" w:rsidR="001C3E40" w:rsidRDefault="00474C72" w:rsidP="001C3E40">
            <w:pPr>
              <w:spacing w:after="0" w:line="240" w:lineRule="auto"/>
              <w:jc w:val="right"/>
              <w:rPr>
                <w:color w:val="000000"/>
              </w:rPr>
            </w:pPr>
            <w:r>
              <w:rPr>
                <w:color w:val="000000"/>
              </w:rPr>
              <w:t>191 152</w:t>
            </w:r>
          </w:p>
        </w:tc>
        <w:tc>
          <w:tcPr>
            <w:tcW w:w="1418" w:type="dxa"/>
            <w:vAlign w:val="center"/>
          </w:tcPr>
          <w:p w14:paraId="7E6492B9" w14:textId="257323F6" w:rsidR="001C3E40" w:rsidRDefault="001C3E40" w:rsidP="001C3E40">
            <w:pPr>
              <w:spacing w:after="0" w:line="240" w:lineRule="auto"/>
              <w:jc w:val="right"/>
              <w:rPr>
                <w:color w:val="000000"/>
              </w:rPr>
            </w:pPr>
            <w:r>
              <w:rPr>
                <w:color w:val="000000"/>
              </w:rPr>
              <w:t>140 853</w:t>
            </w:r>
          </w:p>
        </w:tc>
        <w:tc>
          <w:tcPr>
            <w:tcW w:w="1418" w:type="dxa"/>
            <w:vAlign w:val="center"/>
          </w:tcPr>
          <w:p w14:paraId="735DAFB3" w14:textId="420265C8" w:rsidR="001C3E40" w:rsidDel="002E0069" w:rsidRDefault="00B262A0" w:rsidP="001C3E40">
            <w:pPr>
              <w:spacing w:after="0" w:line="240" w:lineRule="auto"/>
              <w:jc w:val="right"/>
              <w:rPr>
                <w:color w:val="000000"/>
              </w:rPr>
            </w:pPr>
            <w:r>
              <w:rPr>
                <w:color w:val="000000"/>
              </w:rPr>
              <w:t>36 %</w:t>
            </w:r>
          </w:p>
        </w:tc>
      </w:tr>
      <w:tr w:rsidR="001C3E40" w14:paraId="27BAFCF8" w14:textId="77777777" w:rsidTr="007431CE">
        <w:tc>
          <w:tcPr>
            <w:tcW w:w="3572" w:type="dxa"/>
          </w:tcPr>
          <w:p w14:paraId="5510D274" w14:textId="4B8779E7" w:rsidR="001C3E40" w:rsidRDefault="001C3E40" w:rsidP="001C3E40">
            <w:pPr>
              <w:pStyle w:val="Odsekzoznamu1"/>
              <w:spacing w:after="0" w:line="240" w:lineRule="auto"/>
              <w:ind w:left="0"/>
            </w:pPr>
            <w:r>
              <w:t>Ostatné výnosy</w:t>
            </w:r>
          </w:p>
        </w:tc>
        <w:tc>
          <w:tcPr>
            <w:tcW w:w="1418" w:type="dxa"/>
            <w:vAlign w:val="center"/>
          </w:tcPr>
          <w:p w14:paraId="016685FC" w14:textId="7234C246" w:rsidR="001C3E40" w:rsidRDefault="00474C72" w:rsidP="001C3E40">
            <w:pPr>
              <w:spacing w:after="0" w:line="240" w:lineRule="auto"/>
              <w:jc w:val="right"/>
              <w:rPr>
                <w:color w:val="000000"/>
              </w:rPr>
            </w:pPr>
            <w:r>
              <w:rPr>
                <w:color w:val="000000"/>
              </w:rPr>
              <w:t>1 949 271</w:t>
            </w:r>
          </w:p>
        </w:tc>
        <w:tc>
          <w:tcPr>
            <w:tcW w:w="1418" w:type="dxa"/>
            <w:vAlign w:val="center"/>
          </w:tcPr>
          <w:p w14:paraId="552EBFDB" w14:textId="4D375062" w:rsidR="001C3E40" w:rsidRDefault="001C3E40" w:rsidP="001C3E40">
            <w:pPr>
              <w:spacing w:after="0" w:line="240" w:lineRule="auto"/>
              <w:jc w:val="right"/>
              <w:rPr>
                <w:color w:val="000000"/>
              </w:rPr>
            </w:pPr>
            <w:r>
              <w:rPr>
                <w:color w:val="000000"/>
              </w:rPr>
              <w:t>931 820</w:t>
            </w:r>
          </w:p>
        </w:tc>
        <w:tc>
          <w:tcPr>
            <w:tcW w:w="1418" w:type="dxa"/>
            <w:vAlign w:val="center"/>
          </w:tcPr>
          <w:p w14:paraId="7D830DF2" w14:textId="71078FB5" w:rsidR="001C3E40" w:rsidDel="002E0069" w:rsidRDefault="00B262A0" w:rsidP="001C3E40">
            <w:pPr>
              <w:spacing w:after="0" w:line="240" w:lineRule="auto"/>
              <w:jc w:val="right"/>
              <w:rPr>
                <w:color w:val="000000"/>
              </w:rPr>
            </w:pPr>
            <w:r>
              <w:rPr>
                <w:color w:val="000000"/>
              </w:rPr>
              <w:t>109 %</w:t>
            </w:r>
          </w:p>
        </w:tc>
      </w:tr>
      <w:tr w:rsidR="001C3E40" w:rsidRPr="0067502F" w14:paraId="06E0A4C1" w14:textId="77777777" w:rsidTr="007431CE">
        <w:tc>
          <w:tcPr>
            <w:tcW w:w="3572" w:type="dxa"/>
          </w:tcPr>
          <w:p w14:paraId="170A0FEF" w14:textId="01D0C891" w:rsidR="001C3E40" w:rsidRPr="002A67E7" w:rsidRDefault="001C3E40" w:rsidP="001C3E40">
            <w:pPr>
              <w:pStyle w:val="Odsekzoznamu1"/>
              <w:spacing w:after="0" w:line="240" w:lineRule="auto"/>
              <w:ind w:left="0"/>
              <w:rPr>
                <w:b/>
              </w:rPr>
            </w:pPr>
            <w:r w:rsidRPr="002A67E7">
              <w:rPr>
                <w:b/>
              </w:rPr>
              <w:t xml:space="preserve">Spolu </w:t>
            </w:r>
          </w:p>
        </w:tc>
        <w:tc>
          <w:tcPr>
            <w:tcW w:w="1418" w:type="dxa"/>
            <w:vAlign w:val="center"/>
          </w:tcPr>
          <w:p w14:paraId="7812139F" w14:textId="6C28CF68" w:rsidR="001C3E40" w:rsidRPr="002A67E7" w:rsidRDefault="004665FA" w:rsidP="003C0E99">
            <w:pPr>
              <w:spacing w:after="0" w:line="240" w:lineRule="auto"/>
              <w:jc w:val="right"/>
              <w:rPr>
                <w:b/>
                <w:color w:val="000000"/>
              </w:rPr>
            </w:pPr>
            <w:r>
              <w:rPr>
                <w:b/>
                <w:color w:val="000000"/>
              </w:rPr>
              <w:t>19</w:t>
            </w:r>
            <w:r w:rsidR="00474C72">
              <w:rPr>
                <w:b/>
                <w:color w:val="000000"/>
              </w:rPr>
              <w:t> 814 59</w:t>
            </w:r>
            <w:r w:rsidR="003C0E99">
              <w:rPr>
                <w:b/>
                <w:color w:val="000000"/>
              </w:rPr>
              <w:t>2</w:t>
            </w:r>
          </w:p>
        </w:tc>
        <w:tc>
          <w:tcPr>
            <w:tcW w:w="1418" w:type="dxa"/>
            <w:vAlign w:val="center"/>
          </w:tcPr>
          <w:p w14:paraId="6887A5C2" w14:textId="5E13AC65" w:rsidR="001C3E40" w:rsidRPr="002A67E7" w:rsidRDefault="001C3E40" w:rsidP="001C3E40">
            <w:pPr>
              <w:spacing w:after="0" w:line="240" w:lineRule="auto"/>
              <w:jc w:val="right"/>
              <w:rPr>
                <w:b/>
                <w:color w:val="000000"/>
              </w:rPr>
            </w:pPr>
            <w:r>
              <w:rPr>
                <w:b/>
                <w:color w:val="000000"/>
              </w:rPr>
              <w:t>15 478 195</w:t>
            </w:r>
          </w:p>
        </w:tc>
        <w:tc>
          <w:tcPr>
            <w:tcW w:w="1418" w:type="dxa"/>
            <w:vAlign w:val="center"/>
          </w:tcPr>
          <w:p w14:paraId="36EEEC01" w14:textId="4A20FBBA" w:rsidR="001C3E40" w:rsidRPr="002A67E7" w:rsidRDefault="00B262A0" w:rsidP="001C3E40">
            <w:pPr>
              <w:spacing w:after="0" w:line="240" w:lineRule="auto"/>
              <w:jc w:val="right"/>
              <w:rPr>
                <w:b/>
                <w:color w:val="000000"/>
              </w:rPr>
            </w:pPr>
            <w:r>
              <w:rPr>
                <w:b/>
                <w:color w:val="000000"/>
              </w:rPr>
              <w:t>28 %</w:t>
            </w:r>
          </w:p>
        </w:tc>
      </w:tr>
    </w:tbl>
    <w:p w14:paraId="79DF57F2" w14:textId="77777777" w:rsidR="007431B3" w:rsidRPr="003B26B3" w:rsidRDefault="007431B3" w:rsidP="000A72CE">
      <w:pPr>
        <w:pStyle w:val="ODSAD"/>
        <w:tabs>
          <w:tab w:val="clear" w:pos="567"/>
          <w:tab w:val="left" w:pos="1134"/>
        </w:tabs>
        <w:spacing w:after="0"/>
        <w:ind w:left="993" w:firstLine="0"/>
        <w:rPr>
          <w:rFonts w:ascii="Calibri" w:hAnsi="Calibri" w:cs="Calibri"/>
          <w:sz w:val="22"/>
          <w:szCs w:val="22"/>
        </w:rPr>
      </w:pPr>
    </w:p>
    <w:p w14:paraId="7D6CEACE" w14:textId="77777777" w:rsidR="0067502F" w:rsidRDefault="0067502F" w:rsidP="007431B3">
      <w:pPr>
        <w:pStyle w:val="ODSAD"/>
        <w:tabs>
          <w:tab w:val="clear" w:pos="567"/>
          <w:tab w:val="left" w:pos="1134"/>
        </w:tabs>
        <w:spacing w:after="0"/>
        <w:ind w:left="993" w:firstLine="0"/>
        <w:rPr>
          <w:rFonts w:ascii="Calibri" w:hAnsi="Calibri" w:cs="Calibri"/>
          <w:sz w:val="22"/>
          <w:szCs w:val="22"/>
        </w:rPr>
      </w:pPr>
    </w:p>
    <w:p w14:paraId="30D24178" w14:textId="51ADA2D8" w:rsidR="0067502F" w:rsidRPr="00CD3138" w:rsidRDefault="0067502F" w:rsidP="007431B3">
      <w:pPr>
        <w:pStyle w:val="ODSAD"/>
        <w:tabs>
          <w:tab w:val="clear" w:pos="567"/>
          <w:tab w:val="left" w:pos="1134"/>
        </w:tabs>
        <w:spacing w:after="0"/>
        <w:ind w:left="993" w:firstLine="0"/>
        <w:rPr>
          <w:rFonts w:ascii="Calibri" w:hAnsi="Calibri" w:cs="Calibri"/>
          <w:b/>
          <w:sz w:val="22"/>
          <w:szCs w:val="22"/>
          <w:u w:val="single"/>
        </w:rPr>
      </w:pPr>
      <w:r w:rsidRPr="00CD3138">
        <w:rPr>
          <w:rFonts w:ascii="Calibri" w:hAnsi="Calibri" w:cs="Calibri"/>
          <w:b/>
          <w:sz w:val="22"/>
          <w:szCs w:val="22"/>
          <w:u w:val="single"/>
        </w:rPr>
        <w:t>Predaj tovaru</w:t>
      </w:r>
    </w:p>
    <w:p w14:paraId="13CA82B0" w14:textId="77777777" w:rsidR="00D736AE" w:rsidRDefault="0073366F" w:rsidP="0073366F">
      <w:pPr>
        <w:pStyle w:val="ODSAD"/>
        <w:tabs>
          <w:tab w:val="clear" w:pos="567"/>
          <w:tab w:val="left" w:pos="1134"/>
        </w:tabs>
        <w:spacing w:after="0"/>
        <w:ind w:left="993"/>
        <w:rPr>
          <w:rFonts w:ascii="Calibri" w:hAnsi="Calibri" w:cs="Calibri"/>
          <w:sz w:val="22"/>
          <w:szCs w:val="22"/>
        </w:rPr>
      </w:pPr>
      <w:r>
        <w:rPr>
          <w:rFonts w:ascii="Calibri" w:hAnsi="Calibri" w:cs="Calibri"/>
          <w:b/>
          <w:sz w:val="22"/>
          <w:szCs w:val="22"/>
        </w:rPr>
        <w:t xml:space="preserve">            </w:t>
      </w:r>
      <w:r w:rsidR="00FA2A42" w:rsidRPr="00AB5126">
        <w:rPr>
          <w:rFonts w:ascii="Calibri" w:hAnsi="Calibri" w:cs="Calibri"/>
          <w:sz w:val="22"/>
          <w:szCs w:val="22"/>
        </w:rPr>
        <w:t>V roku 201</w:t>
      </w:r>
      <w:r w:rsidR="00EB3831" w:rsidRPr="00AB5126">
        <w:rPr>
          <w:rFonts w:ascii="Calibri" w:hAnsi="Calibri" w:cs="Calibri"/>
          <w:sz w:val="22"/>
          <w:szCs w:val="22"/>
        </w:rPr>
        <w:t>7</w:t>
      </w:r>
      <w:r w:rsidR="00FA2A42" w:rsidRPr="00AB5126">
        <w:rPr>
          <w:rFonts w:ascii="Calibri" w:hAnsi="Calibri" w:cs="Calibri"/>
          <w:sz w:val="22"/>
          <w:szCs w:val="22"/>
        </w:rPr>
        <w:t xml:space="preserve"> bol v štruktúre výnosov z predaja tovaru </w:t>
      </w:r>
      <w:r w:rsidR="00D736AE">
        <w:rPr>
          <w:rFonts w:ascii="Calibri" w:hAnsi="Calibri" w:cs="Calibri"/>
          <w:sz w:val="22"/>
          <w:szCs w:val="22"/>
        </w:rPr>
        <w:t xml:space="preserve">najvýraznejšie zastúpený predaj energií (zemný plyn a el. energia). Spoločnosť zabezpečuje dodávku energií pre vybrané sesterské spoločnosti skupiny, ale zabezpečuje aj predaj externým subjektom. Počas roka 2017 zabezpečovala spoločnosť aj nákup vybraných strategických chemických surovín pre výrobné účely svojich sesterských spoločností. </w:t>
      </w:r>
    </w:p>
    <w:p w14:paraId="6448DD0D" w14:textId="155B435D" w:rsidR="00D736AE" w:rsidRDefault="00D736AE" w:rsidP="0073366F">
      <w:pPr>
        <w:pStyle w:val="ODSAD"/>
        <w:tabs>
          <w:tab w:val="clear" w:pos="567"/>
          <w:tab w:val="left" w:pos="1134"/>
        </w:tabs>
        <w:spacing w:after="0"/>
        <w:ind w:left="993"/>
        <w:rPr>
          <w:rFonts w:ascii="Calibri" w:hAnsi="Calibri" w:cs="Calibri"/>
          <w:sz w:val="22"/>
          <w:szCs w:val="22"/>
        </w:rPr>
      </w:pPr>
      <w:r>
        <w:rPr>
          <w:rFonts w:ascii="Calibri" w:hAnsi="Calibri" w:cs="Calibri"/>
          <w:sz w:val="22"/>
          <w:szCs w:val="22"/>
        </w:rPr>
        <w:tab/>
        <w:t xml:space="preserve">Išlo najmä o tieto suroviny: hmota elektródová, vinylacetát technický, metanol, hydroxid sodný a fenol.  </w:t>
      </w:r>
    </w:p>
    <w:p w14:paraId="294FBFA2" w14:textId="77777777" w:rsidR="000A0686" w:rsidRDefault="000A0686" w:rsidP="0073366F">
      <w:pPr>
        <w:pStyle w:val="ODSAD"/>
        <w:tabs>
          <w:tab w:val="clear" w:pos="567"/>
          <w:tab w:val="left" w:pos="1134"/>
        </w:tabs>
        <w:spacing w:after="0"/>
        <w:ind w:left="993"/>
        <w:rPr>
          <w:rFonts w:ascii="Calibri" w:hAnsi="Calibri" w:cs="Calibri"/>
          <w:sz w:val="22"/>
          <w:szCs w:val="22"/>
        </w:rPr>
      </w:pPr>
    </w:p>
    <w:p w14:paraId="0DDB3EF8" w14:textId="737761E5" w:rsidR="00D736AE" w:rsidRDefault="000A0686" w:rsidP="0073366F">
      <w:pPr>
        <w:pStyle w:val="ODSAD"/>
        <w:tabs>
          <w:tab w:val="clear" w:pos="567"/>
          <w:tab w:val="left" w:pos="1134"/>
        </w:tabs>
        <w:spacing w:after="0"/>
        <w:ind w:left="993"/>
        <w:rPr>
          <w:rFonts w:ascii="Calibri" w:hAnsi="Calibri" w:cs="Calibri"/>
          <w:sz w:val="22"/>
          <w:szCs w:val="22"/>
        </w:rPr>
      </w:pPr>
      <w:r>
        <w:rPr>
          <w:rFonts w:ascii="Calibri" w:hAnsi="Calibri" w:cs="Calibri"/>
          <w:sz w:val="22"/>
          <w:szCs w:val="22"/>
        </w:rPr>
        <w:tab/>
        <w:t xml:space="preserve">Finančný prehľad o štruktúre výnosov z predaja tovaru poskytuje tabuľka: </w:t>
      </w:r>
    </w:p>
    <w:tbl>
      <w:tblPr>
        <w:tblStyle w:val="Mriekatabuky"/>
        <w:tblW w:w="7826" w:type="dxa"/>
        <w:tblInd w:w="993" w:type="dxa"/>
        <w:tblLayout w:type="fixed"/>
        <w:tblLook w:val="04A0" w:firstRow="1" w:lastRow="0" w:firstColumn="1" w:lastColumn="0" w:noHBand="0" w:noVBand="1"/>
      </w:tblPr>
      <w:tblGrid>
        <w:gridCol w:w="3572"/>
        <w:gridCol w:w="1418"/>
        <w:gridCol w:w="1418"/>
        <w:gridCol w:w="1418"/>
      </w:tblGrid>
      <w:tr w:rsidR="0065502F" w:rsidRPr="0065502F" w14:paraId="06861D85" w14:textId="77777777" w:rsidTr="00781E54">
        <w:tc>
          <w:tcPr>
            <w:tcW w:w="3572" w:type="dxa"/>
          </w:tcPr>
          <w:p w14:paraId="49EA3207" w14:textId="77777777" w:rsidR="0065502F" w:rsidRDefault="0065502F" w:rsidP="00781E54">
            <w:pPr>
              <w:pStyle w:val="Odsekzoznamu1"/>
              <w:spacing w:after="0" w:line="240" w:lineRule="auto"/>
              <w:ind w:left="0"/>
              <w:jc w:val="both"/>
              <w:rPr>
                <w:rFonts w:eastAsia="Calibri"/>
                <w:lang w:eastAsia="sk-SK"/>
              </w:rPr>
            </w:pPr>
            <w:r>
              <w:rPr>
                <w:b/>
              </w:rPr>
              <w:t>Typ výnosu v EUR</w:t>
            </w:r>
          </w:p>
        </w:tc>
        <w:tc>
          <w:tcPr>
            <w:tcW w:w="1418" w:type="dxa"/>
            <w:vAlign w:val="center"/>
          </w:tcPr>
          <w:p w14:paraId="388E1062" w14:textId="77777777" w:rsidR="0065502F" w:rsidRPr="00C7629D" w:rsidRDefault="0065502F" w:rsidP="00781E54">
            <w:pPr>
              <w:pStyle w:val="Odsekzoznamu1"/>
              <w:spacing w:after="0" w:line="240" w:lineRule="auto"/>
              <w:ind w:left="0"/>
              <w:jc w:val="center"/>
              <w:rPr>
                <w:b/>
              </w:rPr>
            </w:pPr>
            <w:r w:rsidRPr="00C7629D">
              <w:rPr>
                <w:b/>
              </w:rPr>
              <w:t>201</w:t>
            </w:r>
            <w:r>
              <w:rPr>
                <w:b/>
              </w:rPr>
              <w:t>7</w:t>
            </w:r>
          </w:p>
        </w:tc>
        <w:tc>
          <w:tcPr>
            <w:tcW w:w="1418" w:type="dxa"/>
            <w:vAlign w:val="center"/>
          </w:tcPr>
          <w:p w14:paraId="3D175146" w14:textId="77777777" w:rsidR="0065502F" w:rsidRPr="00C7629D" w:rsidRDefault="0065502F" w:rsidP="00781E54">
            <w:pPr>
              <w:pStyle w:val="Odsekzoznamu1"/>
              <w:spacing w:after="0" w:line="240" w:lineRule="auto"/>
              <w:ind w:left="0"/>
              <w:jc w:val="center"/>
              <w:rPr>
                <w:b/>
              </w:rPr>
            </w:pPr>
            <w:r w:rsidRPr="00C7629D">
              <w:rPr>
                <w:b/>
              </w:rPr>
              <w:t>201</w:t>
            </w:r>
            <w:r>
              <w:rPr>
                <w:b/>
              </w:rPr>
              <w:t>6</w:t>
            </w:r>
          </w:p>
        </w:tc>
        <w:tc>
          <w:tcPr>
            <w:tcW w:w="1418" w:type="dxa"/>
            <w:vAlign w:val="center"/>
          </w:tcPr>
          <w:p w14:paraId="4295C3D2" w14:textId="77777777" w:rsidR="0065502F" w:rsidRPr="0065502F" w:rsidRDefault="0065502F" w:rsidP="00781E54">
            <w:pPr>
              <w:pStyle w:val="Odsekzoznamu1"/>
              <w:spacing w:after="0" w:line="240" w:lineRule="auto"/>
              <w:ind w:left="0"/>
              <w:jc w:val="center"/>
              <w:rPr>
                <w:b/>
                <w:highlight w:val="magenta"/>
              </w:rPr>
            </w:pPr>
            <w:r w:rsidRPr="00444125">
              <w:rPr>
                <w:b/>
              </w:rPr>
              <w:t>Zmena v %</w:t>
            </w:r>
          </w:p>
        </w:tc>
      </w:tr>
      <w:tr w:rsidR="0065502F" w14:paraId="6D47C20E" w14:textId="77777777" w:rsidTr="00781E54">
        <w:tc>
          <w:tcPr>
            <w:tcW w:w="3572" w:type="dxa"/>
          </w:tcPr>
          <w:p w14:paraId="62271CB4" w14:textId="5D384D35" w:rsidR="0065502F" w:rsidRPr="00C7629D" w:rsidRDefault="0065502F" w:rsidP="00781E54">
            <w:pPr>
              <w:pStyle w:val="Odsekzoznamu1"/>
              <w:spacing w:after="0" w:line="240" w:lineRule="auto"/>
              <w:ind w:left="0"/>
            </w:pPr>
            <w:r>
              <w:t>Predaj zemného plynu</w:t>
            </w:r>
          </w:p>
        </w:tc>
        <w:tc>
          <w:tcPr>
            <w:tcW w:w="1418" w:type="dxa"/>
            <w:vAlign w:val="center"/>
          </w:tcPr>
          <w:p w14:paraId="118517BC" w14:textId="4760DE26" w:rsidR="0065502F" w:rsidRDefault="0065502F" w:rsidP="00781E54">
            <w:pPr>
              <w:spacing w:after="0" w:line="240" w:lineRule="auto"/>
              <w:jc w:val="right"/>
              <w:rPr>
                <w:rFonts w:cs="Times New Roman"/>
                <w:color w:val="000000"/>
                <w:lang w:eastAsia="sk-SK"/>
              </w:rPr>
            </w:pPr>
            <w:r>
              <w:rPr>
                <w:rFonts w:cs="Times New Roman"/>
                <w:color w:val="000000"/>
                <w:lang w:eastAsia="sk-SK"/>
              </w:rPr>
              <w:t>4 544 081</w:t>
            </w:r>
          </w:p>
        </w:tc>
        <w:tc>
          <w:tcPr>
            <w:tcW w:w="1418" w:type="dxa"/>
            <w:vAlign w:val="center"/>
          </w:tcPr>
          <w:p w14:paraId="39EC41D1" w14:textId="46E8F945" w:rsidR="0065502F" w:rsidRDefault="0065502F" w:rsidP="00781E54">
            <w:pPr>
              <w:spacing w:after="0" w:line="240" w:lineRule="auto"/>
              <w:jc w:val="right"/>
              <w:rPr>
                <w:rFonts w:cs="Times New Roman"/>
                <w:color w:val="000000"/>
                <w:lang w:eastAsia="sk-SK"/>
              </w:rPr>
            </w:pPr>
            <w:r>
              <w:rPr>
                <w:rFonts w:cs="Times New Roman"/>
                <w:color w:val="000000"/>
                <w:lang w:eastAsia="sk-SK"/>
              </w:rPr>
              <w:t>4 680</w:t>
            </w:r>
            <w:r w:rsidR="00444125">
              <w:rPr>
                <w:rFonts w:cs="Times New Roman"/>
                <w:color w:val="000000"/>
                <w:lang w:eastAsia="sk-SK"/>
              </w:rPr>
              <w:t> </w:t>
            </w:r>
            <w:r>
              <w:rPr>
                <w:rFonts w:cs="Times New Roman"/>
                <w:color w:val="000000"/>
                <w:lang w:eastAsia="sk-SK"/>
              </w:rPr>
              <w:t>685</w:t>
            </w:r>
          </w:p>
        </w:tc>
        <w:tc>
          <w:tcPr>
            <w:tcW w:w="1418" w:type="dxa"/>
            <w:vAlign w:val="center"/>
          </w:tcPr>
          <w:p w14:paraId="37A5C372" w14:textId="4E5661E3" w:rsidR="0065502F" w:rsidRPr="00444125" w:rsidRDefault="00CD3138" w:rsidP="00CD3138">
            <w:pPr>
              <w:pStyle w:val="Odsekzoznamu"/>
              <w:spacing w:after="0" w:line="240" w:lineRule="auto"/>
              <w:jc w:val="center"/>
              <w:rPr>
                <w:color w:val="000000"/>
              </w:rPr>
            </w:pPr>
            <w:r>
              <w:rPr>
                <w:color w:val="000000"/>
              </w:rPr>
              <w:t>-</w:t>
            </w:r>
            <w:r w:rsidR="00444125">
              <w:rPr>
                <w:color w:val="000000"/>
              </w:rPr>
              <w:t xml:space="preserve">3 % </w:t>
            </w:r>
          </w:p>
        </w:tc>
      </w:tr>
      <w:tr w:rsidR="0065502F" w14:paraId="1E14A2B8" w14:textId="77777777" w:rsidTr="00781E54">
        <w:tc>
          <w:tcPr>
            <w:tcW w:w="3572" w:type="dxa"/>
          </w:tcPr>
          <w:p w14:paraId="74EC8486" w14:textId="6A2AC2A9" w:rsidR="0065502F" w:rsidRDefault="0065502F" w:rsidP="00781E54">
            <w:pPr>
              <w:pStyle w:val="Odsekzoznamu1"/>
              <w:spacing w:after="0" w:line="240" w:lineRule="auto"/>
              <w:ind w:left="0"/>
            </w:pPr>
            <w:r>
              <w:t xml:space="preserve">Predaj elektrickej energie </w:t>
            </w:r>
          </w:p>
        </w:tc>
        <w:tc>
          <w:tcPr>
            <w:tcW w:w="1418" w:type="dxa"/>
            <w:vAlign w:val="center"/>
          </w:tcPr>
          <w:p w14:paraId="30A5092F" w14:textId="4049B085" w:rsidR="0065502F" w:rsidRDefault="0065502F" w:rsidP="00781E54">
            <w:pPr>
              <w:spacing w:after="0" w:line="240" w:lineRule="auto"/>
              <w:jc w:val="right"/>
              <w:rPr>
                <w:color w:val="000000"/>
              </w:rPr>
            </w:pPr>
            <w:r>
              <w:rPr>
                <w:color w:val="000000"/>
              </w:rPr>
              <w:t xml:space="preserve">1 014 980 </w:t>
            </w:r>
          </w:p>
        </w:tc>
        <w:tc>
          <w:tcPr>
            <w:tcW w:w="1418" w:type="dxa"/>
            <w:vAlign w:val="center"/>
          </w:tcPr>
          <w:p w14:paraId="465E1755" w14:textId="052BC00F" w:rsidR="0065502F" w:rsidRDefault="0065502F" w:rsidP="00781E54">
            <w:pPr>
              <w:spacing w:after="0" w:line="240" w:lineRule="auto"/>
              <w:jc w:val="right"/>
              <w:rPr>
                <w:color w:val="000000"/>
              </w:rPr>
            </w:pPr>
            <w:r>
              <w:rPr>
                <w:color w:val="000000"/>
              </w:rPr>
              <w:t>852 457</w:t>
            </w:r>
          </w:p>
        </w:tc>
        <w:tc>
          <w:tcPr>
            <w:tcW w:w="1418" w:type="dxa"/>
            <w:vAlign w:val="center"/>
          </w:tcPr>
          <w:p w14:paraId="22B1E7C1" w14:textId="4A17B400" w:rsidR="0065502F" w:rsidRDefault="00444125" w:rsidP="00781E54">
            <w:pPr>
              <w:spacing w:after="0" w:line="240" w:lineRule="auto"/>
              <w:jc w:val="right"/>
              <w:rPr>
                <w:color w:val="000000"/>
              </w:rPr>
            </w:pPr>
            <w:r>
              <w:rPr>
                <w:color w:val="000000"/>
              </w:rPr>
              <w:t>19 %</w:t>
            </w:r>
          </w:p>
        </w:tc>
      </w:tr>
      <w:tr w:rsidR="0065502F" w14:paraId="66694EBF" w14:textId="77777777" w:rsidTr="00781E54">
        <w:tc>
          <w:tcPr>
            <w:tcW w:w="3572" w:type="dxa"/>
          </w:tcPr>
          <w:p w14:paraId="18B32AE3" w14:textId="5F5CC6AF" w:rsidR="0065502F" w:rsidRPr="00C7629D" w:rsidRDefault="0065502F" w:rsidP="00781E54">
            <w:pPr>
              <w:pStyle w:val="Odsekzoznamu1"/>
              <w:spacing w:after="0" w:line="240" w:lineRule="auto"/>
              <w:ind w:left="0"/>
            </w:pPr>
            <w:r>
              <w:t>Predaj plastových výplní</w:t>
            </w:r>
          </w:p>
        </w:tc>
        <w:tc>
          <w:tcPr>
            <w:tcW w:w="1418" w:type="dxa"/>
            <w:vAlign w:val="center"/>
          </w:tcPr>
          <w:p w14:paraId="2C81093A" w14:textId="7A73BB63" w:rsidR="0065502F" w:rsidRDefault="0065502F" w:rsidP="00781E54">
            <w:pPr>
              <w:spacing w:after="0" w:line="240" w:lineRule="auto"/>
              <w:jc w:val="right"/>
              <w:rPr>
                <w:color w:val="000000"/>
              </w:rPr>
            </w:pPr>
            <w:r>
              <w:rPr>
                <w:color w:val="000000"/>
              </w:rPr>
              <w:t>114 465</w:t>
            </w:r>
          </w:p>
        </w:tc>
        <w:tc>
          <w:tcPr>
            <w:tcW w:w="1418" w:type="dxa"/>
            <w:vAlign w:val="center"/>
          </w:tcPr>
          <w:p w14:paraId="6D4BC9D6" w14:textId="44E8D128" w:rsidR="0065502F" w:rsidRDefault="0065502F" w:rsidP="00781E54">
            <w:pPr>
              <w:spacing w:after="0" w:line="240" w:lineRule="auto"/>
              <w:jc w:val="right"/>
              <w:rPr>
                <w:color w:val="000000"/>
              </w:rPr>
            </w:pPr>
            <w:r>
              <w:rPr>
                <w:color w:val="000000"/>
              </w:rPr>
              <w:t>31 598</w:t>
            </w:r>
          </w:p>
        </w:tc>
        <w:tc>
          <w:tcPr>
            <w:tcW w:w="1418" w:type="dxa"/>
            <w:vAlign w:val="center"/>
          </w:tcPr>
          <w:p w14:paraId="0F8B19CC" w14:textId="526E11AB" w:rsidR="0065502F" w:rsidRDefault="00444125" w:rsidP="00781E54">
            <w:pPr>
              <w:spacing w:after="0" w:line="240" w:lineRule="auto"/>
              <w:jc w:val="right"/>
              <w:rPr>
                <w:color w:val="000000"/>
              </w:rPr>
            </w:pPr>
            <w:r>
              <w:rPr>
                <w:color w:val="000000"/>
              </w:rPr>
              <w:t>262 %</w:t>
            </w:r>
          </w:p>
        </w:tc>
      </w:tr>
      <w:tr w:rsidR="0065502F" w14:paraId="728AF86A" w14:textId="77777777" w:rsidTr="00781E54">
        <w:tc>
          <w:tcPr>
            <w:tcW w:w="3572" w:type="dxa"/>
          </w:tcPr>
          <w:p w14:paraId="70FED298" w14:textId="0286BDA4" w:rsidR="0065502F" w:rsidRDefault="0065502F" w:rsidP="0065502F">
            <w:pPr>
              <w:pStyle w:val="Odsekzoznamu1"/>
              <w:spacing w:after="0" w:line="240" w:lineRule="auto"/>
              <w:ind w:left="0"/>
            </w:pPr>
            <w:r>
              <w:t>Predaj surovín</w:t>
            </w:r>
          </w:p>
        </w:tc>
        <w:tc>
          <w:tcPr>
            <w:tcW w:w="1418" w:type="dxa"/>
            <w:vAlign w:val="center"/>
          </w:tcPr>
          <w:p w14:paraId="7AE20FEB" w14:textId="74647F0B" w:rsidR="0065502F" w:rsidRDefault="0065502F" w:rsidP="00781E54">
            <w:pPr>
              <w:spacing w:after="0" w:line="240" w:lineRule="auto"/>
              <w:jc w:val="right"/>
              <w:rPr>
                <w:color w:val="000000"/>
              </w:rPr>
            </w:pPr>
            <w:r>
              <w:rPr>
                <w:color w:val="000000"/>
              </w:rPr>
              <w:t>2 987 028</w:t>
            </w:r>
          </w:p>
        </w:tc>
        <w:tc>
          <w:tcPr>
            <w:tcW w:w="1418" w:type="dxa"/>
            <w:vAlign w:val="center"/>
          </w:tcPr>
          <w:p w14:paraId="4D89B091" w14:textId="5444D1CE" w:rsidR="0065502F" w:rsidRDefault="0065502F" w:rsidP="0065502F">
            <w:pPr>
              <w:spacing w:after="0" w:line="240" w:lineRule="auto"/>
              <w:jc w:val="right"/>
              <w:rPr>
                <w:color w:val="000000"/>
              </w:rPr>
            </w:pPr>
            <w:r>
              <w:rPr>
                <w:color w:val="000000"/>
              </w:rPr>
              <w:t xml:space="preserve">812 419 </w:t>
            </w:r>
          </w:p>
        </w:tc>
        <w:tc>
          <w:tcPr>
            <w:tcW w:w="1418" w:type="dxa"/>
            <w:vAlign w:val="center"/>
          </w:tcPr>
          <w:p w14:paraId="364790CE" w14:textId="5AE89CB5" w:rsidR="0065502F" w:rsidDel="002E0069" w:rsidRDefault="00444125" w:rsidP="00781E54">
            <w:pPr>
              <w:spacing w:after="0" w:line="240" w:lineRule="auto"/>
              <w:jc w:val="right"/>
              <w:rPr>
                <w:color w:val="000000"/>
              </w:rPr>
            </w:pPr>
            <w:r>
              <w:rPr>
                <w:color w:val="000000"/>
              </w:rPr>
              <w:t>268 %</w:t>
            </w:r>
          </w:p>
        </w:tc>
      </w:tr>
      <w:tr w:rsidR="0065502F" w:rsidRPr="0067502F" w14:paraId="03C0D477" w14:textId="77777777" w:rsidTr="00781E54">
        <w:tc>
          <w:tcPr>
            <w:tcW w:w="3572" w:type="dxa"/>
          </w:tcPr>
          <w:p w14:paraId="625E66FD" w14:textId="77777777" w:rsidR="0065502F" w:rsidRPr="002A67E7" w:rsidRDefault="0065502F" w:rsidP="00781E54">
            <w:pPr>
              <w:pStyle w:val="Odsekzoznamu1"/>
              <w:spacing w:after="0" w:line="240" w:lineRule="auto"/>
              <w:ind w:left="0"/>
              <w:rPr>
                <w:b/>
              </w:rPr>
            </w:pPr>
            <w:r w:rsidRPr="002A67E7">
              <w:rPr>
                <w:b/>
              </w:rPr>
              <w:t xml:space="preserve">Spolu </w:t>
            </w:r>
          </w:p>
        </w:tc>
        <w:tc>
          <w:tcPr>
            <w:tcW w:w="1418" w:type="dxa"/>
            <w:vAlign w:val="center"/>
          </w:tcPr>
          <w:p w14:paraId="5AA1F544" w14:textId="6563A1BB" w:rsidR="0065502F" w:rsidRPr="002A67E7" w:rsidRDefault="0065502F" w:rsidP="00781E54">
            <w:pPr>
              <w:spacing w:after="0" w:line="240" w:lineRule="auto"/>
              <w:jc w:val="right"/>
              <w:rPr>
                <w:b/>
                <w:color w:val="000000"/>
              </w:rPr>
            </w:pPr>
            <w:r>
              <w:rPr>
                <w:b/>
                <w:color w:val="000000"/>
              </w:rPr>
              <w:t>8 660 554</w:t>
            </w:r>
          </w:p>
        </w:tc>
        <w:tc>
          <w:tcPr>
            <w:tcW w:w="1418" w:type="dxa"/>
            <w:vAlign w:val="center"/>
          </w:tcPr>
          <w:p w14:paraId="124B0720" w14:textId="6D275718" w:rsidR="0065502F" w:rsidRPr="002A67E7" w:rsidRDefault="0065502F" w:rsidP="00781E54">
            <w:pPr>
              <w:spacing w:after="0" w:line="240" w:lineRule="auto"/>
              <w:jc w:val="right"/>
              <w:rPr>
                <w:b/>
                <w:color w:val="000000"/>
              </w:rPr>
            </w:pPr>
            <w:r>
              <w:rPr>
                <w:b/>
                <w:color w:val="000000"/>
              </w:rPr>
              <w:t>6 377 159</w:t>
            </w:r>
          </w:p>
        </w:tc>
        <w:tc>
          <w:tcPr>
            <w:tcW w:w="1418" w:type="dxa"/>
            <w:vAlign w:val="center"/>
          </w:tcPr>
          <w:p w14:paraId="635D0CCC" w14:textId="4F5D58BE" w:rsidR="0065502F" w:rsidRPr="002A67E7" w:rsidRDefault="00444125" w:rsidP="00781E54">
            <w:pPr>
              <w:spacing w:after="0" w:line="240" w:lineRule="auto"/>
              <w:jc w:val="right"/>
              <w:rPr>
                <w:b/>
                <w:color w:val="000000"/>
              </w:rPr>
            </w:pPr>
            <w:r>
              <w:rPr>
                <w:b/>
                <w:color w:val="000000"/>
              </w:rPr>
              <w:t>36 %</w:t>
            </w:r>
          </w:p>
        </w:tc>
      </w:tr>
    </w:tbl>
    <w:p w14:paraId="7A026BB0" w14:textId="77777777" w:rsidR="0065502F" w:rsidRPr="00AB5126" w:rsidRDefault="0065502F">
      <w:pPr>
        <w:pStyle w:val="ODSAD"/>
        <w:tabs>
          <w:tab w:val="clear" w:pos="567"/>
          <w:tab w:val="left" w:pos="1134"/>
        </w:tabs>
        <w:spacing w:after="0"/>
        <w:ind w:left="993" w:firstLine="0"/>
        <w:rPr>
          <w:rFonts w:ascii="Calibri" w:hAnsi="Calibri" w:cs="Calibri"/>
          <w:sz w:val="22"/>
          <w:szCs w:val="22"/>
        </w:rPr>
      </w:pPr>
    </w:p>
    <w:p w14:paraId="4B298C07" w14:textId="6B1FD466" w:rsidR="00CC4909" w:rsidRPr="00CD3138" w:rsidRDefault="00BC06B1" w:rsidP="00BC06B1">
      <w:pPr>
        <w:pStyle w:val="ODSAD"/>
        <w:tabs>
          <w:tab w:val="clear" w:pos="567"/>
          <w:tab w:val="left" w:pos="1134"/>
          <w:tab w:val="right" w:pos="8788"/>
        </w:tabs>
        <w:spacing w:after="0"/>
        <w:ind w:left="0" w:firstLine="0"/>
        <w:jc w:val="left"/>
        <w:rPr>
          <w:u w:val="single"/>
        </w:rPr>
      </w:pPr>
      <w:r w:rsidRPr="00AB5126">
        <w:rPr>
          <w:rFonts w:ascii="Calibri" w:hAnsi="Calibri" w:cs="Calibri"/>
          <w:sz w:val="22"/>
          <w:szCs w:val="22"/>
        </w:rPr>
        <w:t xml:space="preserve">                    </w:t>
      </w:r>
      <w:r w:rsidR="00CC4909" w:rsidRPr="00CD3138">
        <w:rPr>
          <w:rFonts w:ascii="Calibri" w:hAnsi="Calibri" w:cs="Calibri"/>
          <w:b/>
          <w:sz w:val="22"/>
          <w:szCs w:val="22"/>
          <w:u w:val="single"/>
        </w:rPr>
        <w:t>IT služby</w:t>
      </w:r>
    </w:p>
    <w:p w14:paraId="2D7661F2" w14:textId="0B95EB82" w:rsidR="000A72CE" w:rsidRPr="00AB5126" w:rsidRDefault="004A7F6B" w:rsidP="000A72CE">
      <w:pPr>
        <w:pStyle w:val="ODSAD"/>
        <w:tabs>
          <w:tab w:val="clear" w:pos="567"/>
          <w:tab w:val="left" w:pos="1134"/>
        </w:tabs>
        <w:spacing w:after="0"/>
        <w:ind w:left="993" w:firstLine="0"/>
        <w:rPr>
          <w:rFonts w:ascii="Calibri" w:hAnsi="Calibri" w:cs="Calibri"/>
          <w:sz w:val="22"/>
          <w:szCs w:val="22"/>
        </w:rPr>
      </w:pPr>
      <w:r w:rsidRPr="00AB5126">
        <w:rPr>
          <w:rFonts w:ascii="Calibri" w:hAnsi="Calibri" w:cs="Calibri"/>
          <w:sz w:val="22"/>
          <w:szCs w:val="22"/>
        </w:rPr>
        <w:t>Spoločnosť poskytuje</w:t>
      </w:r>
      <w:r w:rsidR="00DD563A" w:rsidRPr="00AB5126">
        <w:rPr>
          <w:rFonts w:ascii="Calibri" w:hAnsi="Calibri" w:cs="Calibri"/>
          <w:sz w:val="22"/>
          <w:szCs w:val="22"/>
        </w:rPr>
        <w:t xml:space="preserve"> </w:t>
      </w:r>
      <w:r w:rsidR="00197E5D" w:rsidRPr="00AB5126">
        <w:rPr>
          <w:rFonts w:ascii="Calibri" w:hAnsi="Calibri" w:cs="Calibri"/>
          <w:sz w:val="22"/>
          <w:szCs w:val="22"/>
        </w:rPr>
        <w:t xml:space="preserve">technickú aj softvérovú </w:t>
      </w:r>
      <w:r w:rsidRPr="00AB5126">
        <w:rPr>
          <w:rFonts w:ascii="Calibri" w:hAnsi="Calibri" w:cs="Calibri"/>
          <w:sz w:val="22"/>
          <w:szCs w:val="22"/>
        </w:rPr>
        <w:t>podporu</w:t>
      </w:r>
      <w:r w:rsidR="00DA0F18" w:rsidRPr="00AB5126">
        <w:rPr>
          <w:rFonts w:ascii="Calibri" w:hAnsi="Calibri" w:cs="Calibri"/>
          <w:sz w:val="22"/>
          <w:szCs w:val="22"/>
        </w:rPr>
        <w:t xml:space="preserve"> pre spoločnosti v skupine ENERGOCHEMICA</w:t>
      </w:r>
      <w:r w:rsidR="0012622B" w:rsidRPr="00AB5126">
        <w:rPr>
          <w:rFonts w:ascii="Calibri" w:hAnsi="Calibri" w:cs="Calibri"/>
          <w:sz w:val="22"/>
          <w:szCs w:val="22"/>
        </w:rPr>
        <w:t xml:space="preserve"> (1 251 tis. EUR)</w:t>
      </w:r>
      <w:r w:rsidR="00DA0F18" w:rsidRPr="00AB5126">
        <w:rPr>
          <w:rFonts w:ascii="Calibri" w:hAnsi="Calibri" w:cs="Calibri"/>
          <w:sz w:val="22"/>
          <w:szCs w:val="22"/>
        </w:rPr>
        <w:t>.</w:t>
      </w:r>
      <w:r w:rsidR="00A64DBF" w:rsidRPr="00AB5126">
        <w:rPr>
          <w:rFonts w:ascii="Calibri" w:hAnsi="Calibri" w:cs="Calibri"/>
          <w:sz w:val="22"/>
          <w:szCs w:val="22"/>
        </w:rPr>
        <w:t xml:space="preserve"> </w:t>
      </w:r>
      <w:r w:rsidR="005A0662" w:rsidRPr="00AB5126">
        <w:rPr>
          <w:rFonts w:ascii="Calibri" w:hAnsi="Calibri" w:cs="Calibri"/>
          <w:sz w:val="22"/>
          <w:szCs w:val="22"/>
        </w:rPr>
        <w:t>Mierny n</w:t>
      </w:r>
      <w:r w:rsidR="0036477B" w:rsidRPr="00AB5126">
        <w:rPr>
          <w:rFonts w:ascii="Calibri" w:hAnsi="Calibri" w:cs="Calibri"/>
          <w:sz w:val="22"/>
          <w:szCs w:val="22"/>
        </w:rPr>
        <w:t>árast tržieb z</w:t>
      </w:r>
      <w:r w:rsidR="007431B3" w:rsidRPr="00AB5126">
        <w:rPr>
          <w:rFonts w:ascii="Calibri" w:hAnsi="Calibri" w:cs="Calibri"/>
          <w:sz w:val="22"/>
          <w:szCs w:val="22"/>
        </w:rPr>
        <w:t xml:space="preserve"> predaja IT služieb </w:t>
      </w:r>
      <w:r w:rsidR="0036477B" w:rsidRPr="00AB5126">
        <w:rPr>
          <w:rFonts w:ascii="Calibri" w:hAnsi="Calibri" w:cs="Calibri"/>
          <w:sz w:val="22"/>
          <w:szCs w:val="22"/>
        </w:rPr>
        <w:t>o</w:t>
      </w:r>
      <w:r w:rsidR="00DD563A" w:rsidRPr="00AB5126">
        <w:rPr>
          <w:rFonts w:ascii="Calibri" w:hAnsi="Calibri" w:cs="Calibri"/>
          <w:sz w:val="22"/>
          <w:szCs w:val="22"/>
        </w:rPr>
        <w:t> 9%</w:t>
      </w:r>
      <w:r w:rsidR="005A0662" w:rsidRPr="00AB5126">
        <w:rPr>
          <w:rFonts w:ascii="Calibri" w:hAnsi="Calibri" w:cs="Calibri"/>
          <w:sz w:val="22"/>
          <w:szCs w:val="22"/>
        </w:rPr>
        <w:t> </w:t>
      </w:r>
      <w:r w:rsidR="00DD563A" w:rsidRPr="00AB5126">
        <w:rPr>
          <w:rFonts w:ascii="Calibri" w:hAnsi="Calibri" w:cs="Calibri"/>
          <w:sz w:val="22"/>
          <w:szCs w:val="22"/>
        </w:rPr>
        <w:t>(</w:t>
      </w:r>
      <w:r w:rsidR="005A0662" w:rsidRPr="00AB5126">
        <w:rPr>
          <w:rFonts w:ascii="Calibri" w:hAnsi="Calibri" w:cs="Calibri"/>
          <w:sz w:val="22"/>
          <w:szCs w:val="22"/>
        </w:rPr>
        <w:t>1</w:t>
      </w:r>
      <w:r w:rsidR="00104B25" w:rsidRPr="00AB5126">
        <w:rPr>
          <w:rFonts w:ascii="Calibri" w:hAnsi="Calibri" w:cs="Calibri"/>
          <w:sz w:val="22"/>
          <w:szCs w:val="22"/>
        </w:rPr>
        <w:t>17</w:t>
      </w:r>
      <w:r w:rsidR="005A0662" w:rsidRPr="00AB5126">
        <w:rPr>
          <w:rFonts w:ascii="Calibri" w:hAnsi="Calibri" w:cs="Calibri"/>
          <w:sz w:val="22"/>
          <w:szCs w:val="22"/>
        </w:rPr>
        <w:t xml:space="preserve"> </w:t>
      </w:r>
      <w:r w:rsidR="0036477B" w:rsidRPr="00AB5126">
        <w:rPr>
          <w:rFonts w:ascii="Calibri" w:hAnsi="Calibri" w:cs="Calibri"/>
          <w:sz w:val="22"/>
          <w:szCs w:val="22"/>
        </w:rPr>
        <w:t xml:space="preserve"> tis. EUR</w:t>
      </w:r>
      <w:r w:rsidR="00DD563A" w:rsidRPr="00AB5126">
        <w:rPr>
          <w:rFonts w:ascii="Calibri" w:hAnsi="Calibri" w:cs="Calibri"/>
          <w:sz w:val="22"/>
          <w:szCs w:val="22"/>
        </w:rPr>
        <w:t>)</w:t>
      </w:r>
      <w:r w:rsidR="0036477B" w:rsidRPr="00AB5126">
        <w:rPr>
          <w:rFonts w:ascii="Calibri" w:hAnsi="Calibri" w:cs="Calibri"/>
          <w:sz w:val="22"/>
          <w:szCs w:val="22"/>
        </w:rPr>
        <w:t xml:space="preserve"> súvisel</w:t>
      </w:r>
      <w:r w:rsidR="0012622B" w:rsidRPr="00AB5126">
        <w:rPr>
          <w:rFonts w:ascii="Calibri" w:hAnsi="Calibri" w:cs="Calibri"/>
          <w:sz w:val="22"/>
          <w:szCs w:val="22"/>
        </w:rPr>
        <w:t xml:space="preserve"> s uzavretím nových zmlúv</w:t>
      </w:r>
      <w:r w:rsidR="007431B3" w:rsidRPr="00AB5126">
        <w:rPr>
          <w:rFonts w:ascii="Calibri" w:hAnsi="Calibri" w:cs="Calibri"/>
          <w:sz w:val="22"/>
          <w:szCs w:val="22"/>
        </w:rPr>
        <w:t xml:space="preserve"> </w:t>
      </w:r>
      <w:r w:rsidR="0012622B" w:rsidRPr="00AB5126">
        <w:rPr>
          <w:rFonts w:ascii="Calibri" w:hAnsi="Calibri" w:cs="Calibri"/>
          <w:sz w:val="22"/>
          <w:szCs w:val="22"/>
        </w:rPr>
        <w:t>o</w:t>
      </w:r>
      <w:r w:rsidR="00104B25" w:rsidRPr="00AB5126">
        <w:rPr>
          <w:rFonts w:ascii="Calibri" w:hAnsi="Calibri" w:cs="Calibri"/>
          <w:sz w:val="22"/>
          <w:szCs w:val="22"/>
        </w:rPr>
        <w:t xml:space="preserve"> </w:t>
      </w:r>
      <w:r w:rsidR="0012622B" w:rsidRPr="00AB5126">
        <w:rPr>
          <w:rFonts w:ascii="Calibri" w:hAnsi="Calibri" w:cs="Calibri"/>
          <w:sz w:val="22"/>
          <w:szCs w:val="22"/>
        </w:rPr>
        <w:t>poskytovaní</w:t>
      </w:r>
      <w:r w:rsidR="00104B25" w:rsidRPr="00AB5126">
        <w:rPr>
          <w:rFonts w:ascii="Calibri" w:hAnsi="Calibri" w:cs="Calibri"/>
          <w:sz w:val="22"/>
          <w:szCs w:val="22"/>
        </w:rPr>
        <w:t xml:space="preserve"> IT služieb </w:t>
      </w:r>
      <w:r w:rsidR="00D00A57">
        <w:rPr>
          <w:rFonts w:ascii="Calibri" w:hAnsi="Calibri" w:cs="Calibri"/>
          <w:sz w:val="22"/>
          <w:szCs w:val="22"/>
        </w:rPr>
        <w:t xml:space="preserve">aj </w:t>
      </w:r>
      <w:r w:rsidR="00104B25" w:rsidRPr="00AB5126">
        <w:rPr>
          <w:rFonts w:ascii="Calibri" w:hAnsi="Calibri" w:cs="Calibri"/>
          <w:sz w:val="22"/>
          <w:szCs w:val="22"/>
        </w:rPr>
        <w:t>mimo skupinu.</w:t>
      </w:r>
    </w:p>
    <w:p w14:paraId="31985BF4" w14:textId="77777777" w:rsidR="0036477B" w:rsidRPr="00AB5126" w:rsidRDefault="0036477B" w:rsidP="000A72CE">
      <w:pPr>
        <w:pStyle w:val="ODSAD"/>
        <w:tabs>
          <w:tab w:val="clear" w:pos="567"/>
          <w:tab w:val="left" w:pos="1134"/>
        </w:tabs>
        <w:spacing w:after="0"/>
        <w:ind w:left="993" w:firstLine="0"/>
        <w:rPr>
          <w:rFonts w:ascii="Calibri" w:hAnsi="Calibri" w:cs="Calibri"/>
          <w:sz w:val="22"/>
          <w:szCs w:val="22"/>
        </w:rPr>
      </w:pPr>
    </w:p>
    <w:p w14:paraId="2D9F42D2" w14:textId="2E22EA1F" w:rsidR="00CC4909" w:rsidRPr="00CD3138" w:rsidRDefault="0073366F" w:rsidP="0073366F">
      <w:pPr>
        <w:pStyle w:val="ODSAD"/>
        <w:tabs>
          <w:tab w:val="clear" w:pos="567"/>
          <w:tab w:val="left" w:pos="1134"/>
        </w:tabs>
        <w:spacing w:after="0"/>
        <w:ind w:left="0" w:firstLine="0"/>
        <w:rPr>
          <w:rFonts w:ascii="Calibri" w:hAnsi="Calibri" w:cs="Calibri"/>
          <w:b/>
          <w:sz w:val="22"/>
          <w:szCs w:val="22"/>
          <w:u w:val="single"/>
        </w:rPr>
      </w:pPr>
      <w:r>
        <w:rPr>
          <w:rFonts w:ascii="Calibri" w:hAnsi="Calibri" w:cs="Calibri"/>
          <w:b/>
          <w:sz w:val="22"/>
          <w:szCs w:val="22"/>
        </w:rPr>
        <w:t xml:space="preserve">                    </w:t>
      </w:r>
      <w:r w:rsidR="00CC4909" w:rsidRPr="00CD3138">
        <w:rPr>
          <w:rFonts w:ascii="Calibri" w:hAnsi="Calibri" w:cs="Calibri"/>
          <w:b/>
          <w:sz w:val="22"/>
          <w:szCs w:val="22"/>
          <w:u w:val="single"/>
        </w:rPr>
        <w:t>Sprostredkovanie predaja</w:t>
      </w:r>
    </w:p>
    <w:p w14:paraId="3D0C6DB7" w14:textId="5296BA5A" w:rsidR="00E52439" w:rsidRPr="00AB5126" w:rsidRDefault="00671785" w:rsidP="000A72CE">
      <w:pPr>
        <w:pStyle w:val="ODSAD"/>
        <w:tabs>
          <w:tab w:val="clear" w:pos="567"/>
          <w:tab w:val="left" w:pos="1134"/>
        </w:tabs>
        <w:spacing w:after="0"/>
        <w:ind w:left="993" w:firstLine="0"/>
        <w:rPr>
          <w:rFonts w:ascii="Calibri" w:hAnsi="Calibri" w:cs="Calibri"/>
          <w:sz w:val="22"/>
          <w:szCs w:val="22"/>
        </w:rPr>
      </w:pPr>
      <w:r w:rsidRPr="00AB5126">
        <w:rPr>
          <w:rFonts w:ascii="Calibri" w:hAnsi="Calibri" w:cs="Calibri"/>
          <w:sz w:val="22"/>
          <w:szCs w:val="22"/>
        </w:rPr>
        <w:t>Nárast výnosov spoločnosti z dôvodu sprostredkovania nákupu a predaja o</w:t>
      </w:r>
      <w:r w:rsidR="0012622B" w:rsidRPr="00AB5126">
        <w:rPr>
          <w:rFonts w:ascii="Calibri" w:hAnsi="Calibri" w:cs="Calibri"/>
          <w:sz w:val="22"/>
          <w:szCs w:val="22"/>
        </w:rPr>
        <w:t> 868 tis</w:t>
      </w:r>
      <w:r w:rsidRPr="00AB5126">
        <w:rPr>
          <w:rFonts w:ascii="Calibri" w:hAnsi="Calibri" w:cs="Calibri"/>
          <w:sz w:val="22"/>
          <w:szCs w:val="22"/>
        </w:rPr>
        <w:t>.</w:t>
      </w:r>
      <w:r w:rsidR="00CC4909" w:rsidRPr="00AB5126">
        <w:rPr>
          <w:rFonts w:ascii="Calibri" w:hAnsi="Calibri" w:cs="Calibri"/>
          <w:sz w:val="22"/>
          <w:szCs w:val="22"/>
        </w:rPr>
        <w:t> </w:t>
      </w:r>
      <w:r w:rsidRPr="00AB5126">
        <w:rPr>
          <w:rFonts w:ascii="Calibri" w:hAnsi="Calibri" w:cs="Calibri"/>
          <w:sz w:val="22"/>
          <w:szCs w:val="22"/>
        </w:rPr>
        <w:t>EUR súvisel s</w:t>
      </w:r>
      <w:r w:rsidR="0012622B" w:rsidRPr="00AB5126">
        <w:rPr>
          <w:rFonts w:ascii="Calibri" w:hAnsi="Calibri" w:cs="Calibri"/>
          <w:sz w:val="22"/>
          <w:szCs w:val="22"/>
        </w:rPr>
        <w:t xml:space="preserve"> uzavretím novej zmluvy na obstaranie </w:t>
      </w:r>
      <w:r w:rsidR="00BC06B1" w:rsidRPr="00AB5126">
        <w:rPr>
          <w:rFonts w:ascii="Calibri" w:hAnsi="Calibri" w:cs="Calibri"/>
          <w:sz w:val="22"/>
          <w:szCs w:val="22"/>
        </w:rPr>
        <w:t>elektrickej</w:t>
      </w:r>
      <w:r w:rsidR="0012622B" w:rsidRPr="00AB5126">
        <w:rPr>
          <w:rFonts w:ascii="Calibri" w:hAnsi="Calibri" w:cs="Calibri"/>
          <w:sz w:val="22"/>
          <w:szCs w:val="22"/>
        </w:rPr>
        <w:t xml:space="preserve"> energie pre </w:t>
      </w:r>
      <w:r w:rsidR="00D736AE">
        <w:rPr>
          <w:rFonts w:ascii="Calibri" w:hAnsi="Calibri" w:cs="Calibri"/>
          <w:sz w:val="22"/>
          <w:szCs w:val="22"/>
        </w:rPr>
        <w:t xml:space="preserve">sesterskú </w:t>
      </w:r>
      <w:r w:rsidR="00BC06B1" w:rsidRPr="00AB5126">
        <w:rPr>
          <w:rFonts w:ascii="Calibri" w:hAnsi="Calibri" w:cs="Calibri"/>
          <w:sz w:val="22"/>
          <w:szCs w:val="22"/>
        </w:rPr>
        <w:t xml:space="preserve">spoločnosť </w:t>
      </w:r>
      <w:r w:rsidR="00D736AE">
        <w:rPr>
          <w:rFonts w:ascii="Calibri" w:hAnsi="Calibri" w:cs="Calibri"/>
          <w:sz w:val="22"/>
          <w:szCs w:val="22"/>
        </w:rPr>
        <w:t>Fortischem a. s.</w:t>
      </w:r>
      <w:r w:rsidRPr="00AB5126">
        <w:rPr>
          <w:rFonts w:ascii="Calibri" w:hAnsi="Calibri" w:cs="Calibri"/>
          <w:sz w:val="22"/>
          <w:szCs w:val="22"/>
        </w:rPr>
        <w:t xml:space="preserve"> </w:t>
      </w:r>
    </w:p>
    <w:p w14:paraId="62047613" w14:textId="77777777" w:rsidR="00104B25" w:rsidRPr="00AB5126" w:rsidRDefault="00104B25" w:rsidP="000A72CE">
      <w:pPr>
        <w:pStyle w:val="ODSAD"/>
        <w:tabs>
          <w:tab w:val="clear" w:pos="567"/>
          <w:tab w:val="left" w:pos="1134"/>
        </w:tabs>
        <w:spacing w:after="0"/>
        <w:ind w:left="993" w:firstLine="0"/>
        <w:rPr>
          <w:rFonts w:ascii="Calibri" w:hAnsi="Calibri" w:cs="Calibri"/>
          <w:sz w:val="22"/>
          <w:szCs w:val="22"/>
        </w:rPr>
      </w:pPr>
    </w:p>
    <w:p w14:paraId="11B9C0CF" w14:textId="1E267A2D" w:rsidR="00BC06B1" w:rsidRPr="00CD3138" w:rsidRDefault="00BC06B1" w:rsidP="000A72CE">
      <w:pPr>
        <w:pStyle w:val="ODSAD"/>
        <w:tabs>
          <w:tab w:val="clear" w:pos="567"/>
          <w:tab w:val="left" w:pos="1134"/>
        </w:tabs>
        <w:spacing w:after="0"/>
        <w:ind w:left="993" w:firstLine="0"/>
        <w:rPr>
          <w:rFonts w:ascii="Calibri" w:hAnsi="Calibri" w:cs="Calibri"/>
          <w:b/>
          <w:sz w:val="22"/>
          <w:szCs w:val="22"/>
          <w:u w:val="single"/>
        </w:rPr>
      </w:pPr>
      <w:r w:rsidRPr="00CD3138">
        <w:rPr>
          <w:rFonts w:ascii="Calibri" w:hAnsi="Calibri" w:cs="Calibri"/>
          <w:b/>
          <w:sz w:val="22"/>
          <w:szCs w:val="22"/>
          <w:u w:val="single"/>
        </w:rPr>
        <w:t>Aktivácia</w:t>
      </w:r>
    </w:p>
    <w:p w14:paraId="60FB4250" w14:textId="222BF34C" w:rsidR="00BC06B1" w:rsidRPr="00AB5126" w:rsidRDefault="00BC06B1" w:rsidP="000A72CE">
      <w:pPr>
        <w:pStyle w:val="ODSAD"/>
        <w:tabs>
          <w:tab w:val="clear" w:pos="567"/>
          <w:tab w:val="left" w:pos="1134"/>
        </w:tabs>
        <w:spacing w:after="0"/>
        <w:ind w:left="993" w:firstLine="0"/>
        <w:rPr>
          <w:rFonts w:ascii="Calibri" w:hAnsi="Calibri" w:cs="Calibri"/>
          <w:b/>
          <w:sz w:val="22"/>
          <w:szCs w:val="22"/>
        </w:rPr>
      </w:pPr>
      <w:r w:rsidRPr="00AB5126">
        <w:rPr>
          <w:rFonts w:ascii="Calibri" w:hAnsi="Calibri" w:cs="Calibri"/>
          <w:sz w:val="22"/>
          <w:szCs w:val="22"/>
        </w:rPr>
        <w:t>Sumy predstavujú objem nákladov spoločnosti na odbornú technickú činnosť vlastných zamestnancov v súvislosti s realizovanými investičnými projektmi</w:t>
      </w:r>
      <w:r w:rsidRPr="00AB5126">
        <w:rPr>
          <w:sz w:val="18"/>
          <w:szCs w:val="18"/>
        </w:rPr>
        <w:t>.</w:t>
      </w:r>
    </w:p>
    <w:p w14:paraId="34972516" w14:textId="77777777" w:rsidR="00197E5D" w:rsidRDefault="00197E5D" w:rsidP="000A72CE">
      <w:pPr>
        <w:pStyle w:val="ODSAD"/>
        <w:tabs>
          <w:tab w:val="clear" w:pos="567"/>
          <w:tab w:val="left" w:pos="1134"/>
        </w:tabs>
        <w:spacing w:after="0"/>
        <w:ind w:left="993" w:firstLine="0"/>
        <w:rPr>
          <w:rFonts w:ascii="Calibri" w:hAnsi="Calibri" w:cs="Calibri"/>
          <w:sz w:val="22"/>
          <w:szCs w:val="22"/>
        </w:rPr>
      </w:pPr>
    </w:p>
    <w:p w14:paraId="72294D57" w14:textId="77777777" w:rsidR="00D8226D" w:rsidRPr="00AB5126" w:rsidRDefault="00D8226D" w:rsidP="000A72CE">
      <w:pPr>
        <w:pStyle w:val="ODSAD"/>
        <w:tabs>
          <w:tab w:val="clear" w:pos="567"/>
          <w:tab w:val="left" w:pos="1134"/>
        </w:tabs>
        <w:spacing w:after="0"/>
        <w:ind w:left="993" w:firstLine="0"/>
        <w:rPr>
          <w:rFonts w:ascii="Calibri" w:hAnsi="Calibri" w:cs="Calibri"/>
          <w:sz w:val="22"/>
          <w:szCs w:val="22"/>
        </w:rPr>
      </w:pPr>
    </w:p>
    <w:p w14:paraId="6CD8FA6F" w14:textId="45E64F01" w:rsidR="00197E5D" w:rsidRPr="00CD3138" w:rsidRDefault="00197E5D" w:rsidP="00197E5D">
      <w:pPr>
        <w:pStyle w:val="ODSAD"/>
        <w:tabs>
          <w:tab w:val="clear" w:pos="567"/>
          <w:tab w:val="left" w:pos="1134"/>
        </w:tabs>
        <w:spacing w:after="0"/>
        <w:ind w:left="993" w:firstLine="0"/>
        <w:rPr>
          <w:rFonts w:ascii="Calibri" w:hAnsi="Calibri" w:cs="Calibri"/>
          <w:b/>
          <w:sz w:val="22"/>
          <w:szCs w:val="22"/>
          <w:u w:val="single"/>
        </w:rPr>
      </w:pPr>
      <w:r w:rsidRPr="00CD3138">
        <w:rPr>
          <w:rFonts w:ascii="Calibri" w:hAnsi="Calibri" w:cs="Calibri"/>
          <w:b/>
          <w:sz w:val="22"/>
          <w:szCs w:val="22"/>
          <w:u w:val="single"/>
        </w:rPr>
        <w:t>Ostatné výnosy</w:t>
      </w:r>
    </w:p>
    <w:p w14:paraId="5B0C60E5" w14:textId="7838BD89" w:rsidR="00197E5D" w:rsidRDefault="00BC06B1" w:rsidP="00197E5D">
      <w:pPr>
        <w:pStyle w:val="ODSAD"/>
        <w:tabs>
          <w:tab w:val="clear" w:pos="567"/>
          <w:tab w:val="left" w:pos="1134"/>
        </w:tabs>
        <w:spacing w:after="0"/>
        <w:ind w:left="993" w:firstLine="0"/>
        <w:rPr>
          <w:rFonts w:ascii="Calibri" w:hAnsi="Calibri" w:cs="Calibri"/>
          <w:sz w:val="22"/>
          <w:szCs w:val="22"/>
        </w:rPr>
      </w:pPr>
      <w:r w:rsidRPr="00AB5126">
        <w:rPr>
          <w:rFonts w:ascii="Calibri" w:hAnsi="Calibri" w:cs="Calibri"/>
          <w:sz w:val="22"/>
          <w:szCs w:val="22"/>
        </w:rPr>
        <w:t>V ostatných výnosoch za rok 2017 tvoria</w:t>
      </w:r>
      <w:r w:rsidR="00197E5D" w:rsidRPr="00AB5126">
        <w:rPr>
          <w:rFonts w:ascii="Calibri" w:hAnsi="Calibri" w:cs="Calibri"/>
          <w:sz w:val="22"/>
          <w:szCs w:val="22"/>
        </w:rPr>
        <w:t xml:space="preserve"> významnú časť </w:t>
      </w:r>
      <w:r w:rsidRPr="00AB5126">
        <w:rPr>
          <w:rFonts w:ascii="Calibri" w:hAnsi="Calibri" w:cs="Calibri"/>
          <w:sz w:val="22"/>
          <w:szCs w:val="22"/>
        </w:rPr>
        <w:t xml:space="preserve">novo poskytované služby do skupiny z dôvodu centralizovania niektorých činností </w:t>
      </w:r>
      <w:r w:rsidRPr="00104B25">
        <w:rPr>
          <w:rFonts w:ascii="Calibri" w:hAnsi="Calibri" w:cs="Calibri"/>
          <w:sz w:val="22"/>
          <w:szCs w:val="22"/>
        </w:rPr>
        <w:t>(správa majetku + 28</w:t>
      </w:r>
      <w:r w:rsidRPr="00AB5126">
        <w:rPr>
          <w:rFonts w:ascii="Calibri" w:hAnsi="Calibri" w:cs="Calibri"/>
          <w:sz w:val="22"/>
          <w:szCs w:val="22"/>
        </w:rPr>
        <w:t>6 tis. EUR, služby v oblasti výskumu a vývoja</w:t>
      </w:r>
      <w:r w:rsidRPr="00104B25">
        <w:rPr>
          <w:rFonts w:ascii="Calibri" w:hAnsi="Calibri" w:cs="Calibri"/>
          <w:sz w:val="22"/>
          <w:szCs w:val="22"/>
        </w:rPr>
        <w:t xml:space="preserve"> +680 tis. EUR</w:t>
      </w:r>
      <w:r w:rsidRPr="00AB5126">
        <w:rPr>
          <w:rFonts w:ascii="Calibri" w:hAnsi="Calibri" w:cs="Calibri"/>
          <w:sz w:val="22"/>
          <w:szCs w:val="22"/>
        </w:rPr>
        <w:t>,</w:t>
      </w:r>
      <w:r w:rsidRPr="00104B25">
        <w:rPr>
          <w:rFonts w:ascii="Calibri" w:hAnsi="Calibri" w:cs="Calibri"/>
          <w:sz w:val="22"/>
          <w:szCs w:val="22"/>
        </w:rPr>
        <w:t xml:space="preserve"> správa areálu v</w:t>
      </w:r>
      <w:r w:rsidR="00D736AE">
        <w:rPr>
          <w:rFonts w:ascii="Calibri" w:hAnsi="Calibri" w:cs="Calibri"/>
          <w:sz w:val="22"/>
          <w:szCs w:val="22"/>
        </w:rPr>
        <w:t xml:space="preserve"> Šamoríne </w:t>
      </w:r>
      <w:r w:rsidRPr="00104B25">
        <w:rPr>
          <w:rFonts w:ascii="Calibri" w:hAnsi="Calibri" w:cs="Calibri"/>
          <w:sz w:val="22"/>
          <w:szCs w:val="22"/>
        </w:rPr>
        <w:t>+ 126 tis</w:t>
      </w:r>
      <w:r w:rsidR="00D00A57">
        <w:rPr>
          <w:rFonts w:ascii="Calibri" w:hAnsi="Calibri" w:cs="Calibri"/>
          <w:sz w:val="22"/>
          <w:szCs w:val="22"/>
        </w:rPr>
        <w:t>).</w:t>
      </w:r>
    </w:p>
    <w:p w14:paraId="4B1E9A6B" w14:textId="77777777" w:rsidR="0073366F" w:rsidRDefault="0073366F" w:rsidP="00197E5D">
      <w:pPr>
        <w:pStyle w:val="ODSAD"/>
        <w:tabs>
          <w:tab w:val="clear" w:pos="567"/>
          <w:tab w:val="left" w:pos="1134"/>
        </w:tabs>
        <w:spacing w:after="0"/>
        <w:ind w:left="993" w:firstLine="0"/>
        <w:rPr>
          <w:rFonts w:ascii="Calibri" w:hAnsi="Calibri" w:cs="Calibri"/>
          <w:sz w:val="22"/>
          <w:szCs w:val="22"/>
        </w:rPr>
      </w:pPr>
    </w:p>
    <w:p w14:paraId="62E5CC9D" w14:textId="77777777" w:rsidR="004B5D76" w:rsidRPr="00E728EF" w:rsidRDefault="00473146" w:rsidP="00E728EF">
      <w:pPr>
        <w:pStyle w:val="Nadpis1"/>
        <w:numPr>
          <w:ilvl w:val="2"/>
          <w:numId w:val="7"/>
        </w:numPr>
        <w:rPr>
          <w:sz w:val="24"/>
        </w:rPr>
      </w:pPr>
      <w:bookmarkStart w:id="14" w:name="_Toc514145320"/>
      <w:r w:rsidRPr="00CC1D36">
        <w:rPr>
          <w:sz w:val="24"/>
        </w:rPr>
        <w:t>Náklady</w:t>
      </w:r>
      <w:bookmarkEnd w:id="14"/>
    </w:p>
    <w:p w14:paraId="24E7832C" w14:textId="77777777" w:rsidR="004B5D76" w:rsidRDefault="004B5D76" w:rsidP="00465F0E">
      <w:pPr>
        <w:pStyle w:val="Odsekzoznamu1"/>
        <w:spacing w:after="0" w:line="240" w:lineRule="auto"/>
        <w:ind w:left="1080"/>
        <w:rPr>
          <w:sz w:val="20"/>
          <w:szCs w:val="20"/>
        </w:rPr>
      </w:pPr>
    </w:p>
    <w:tbl>
      <w:tblPr>
        <w:tblStyle w:val="Mriekatabuky"/>
        <w:tblW w:w="7826" w:type="dxa"/>
        <w:tblInd w:w="993" w:type="dxa"/>
        <w:tblLayout w:type="fixed"/>
        <w:tblLook w:val="04A0" w:firstRow="1" w:lastRow="0" w:firstColumn="1" w:lastColumn="0" w:noHBand="0" w:noVBand="1"/>
      </w:tblPr>
      <w:tblGrid>
        <w:gridCol w:w="3572"/>
        <w:gridCol w:w="1418"/>
        <w:gridCol w:w="1418"/>
        <w:gridCol w:w="1418"/>
      </w:tblGrid>
      <w:tr w:rsidR="00242649" w14:paraId="092D0486" w14:textId="77777777" w:rsidTr="007431CE">
        <w:tc>
          <w:tcPr>
            <w:tcW w:w="3572" w:type="dxa"/>
          </w:tcPr>
          <w:p w14:paraId="609FE42F" w14:textId="77777777" w:rsidR="00242649" w:rsidRDefault="00242649" w:rsidP="007431CE">
            <w:pPr>
              <w:pStyle w:val="Odsekzoznamu1"/>
              <w:spacing w:after="0" w:line="240" w:lineRule="auto"/>
              <w:ind w:left="0"/>
              <w:jc w:val="both"/>
              <w:rPr>
                <w:rFonts w:eastAsia="Calibri"/>
                <w:lang w:eastAsia="sk-SK"/>
              </w:rPr>
            </w:pPr>
          </w:p>
        </w:tc>
        <w:tc>
          <w:tcPr>
            <w:tcW w:w="1418" w:type="dxa"/>
            <w:vAlign w:val="center"/>
          </w:tcPr>
          <w:p w14:paraId="7101B790" w14:textId="21BC1993" w:rsidR="00242649" w:rsidRPr="00C7629D" w:rsidRDefault="00242649" w:rsidP="00075C42">
            <w:pPr>
              <w:pStyle w:val="Odsekzoznamu1"/>
              <w:spacing w:after="0" w:line="240" w:lineRule="auto"/>
              <w:ind w:left="0"/>
              <w:jc w:val="center"/>
              <w:rPr>
                <w:b/>
              </w:rPr>
            </w:pPr>
            <w:r w:rsidRPr="00C7629D">
              <w:rPr>
                <w:b/>
              </w:rPr>
              <w:t>201</w:t>
            </w:r>
            <w:r w:rsidR="00075C42">
              <w:rPr>
                <w:b/>
              </w:rPr>
              <w:t>7</w:t>
            </w:r>
          </w:p>
        </w:tc>
        <w:tc>
          <w:tcPr>
            <w:tcW w:w="1418" w:type="dxa"/>
            <w:vAlign w:val="center"/>
          </w:tcPr>
          <w:p w14:paraId="69EBFD01" w14:textId="0D695274" w:rsidR="00242649" w:rsidRPr="00C7629D" w:rsidRDefault="00671785" w:rsidP="007431CE">
            <w:pPr>
              <w:pStyle w:val="Odsekzoznamu1"/>
              <w:spacing w:after="0" w:line="240" w:lineRule="auto"/>
              <w:ind w:left="0"/>
              <w:jc w:val="center"/>
              <w:rPr>
                <w:b/>
              </w:rPr>
            </w:pPr>
            <w:r>
              <w:rPr>
                <w:b/>
              </w:rPr>
              <w:t>201</w:t>
            </w:r>
            <w:r w:rsidR="00474C72">
              <w:rPr>
                <w:b/>
              </w:rPr>
              <w:t>6</w:t>
            </w:r>
          </w:p>
        </w:tc>
        <w:tc>
          <w:tcPr>
            <w:tcW w:w="1418" w:type="dxa"/>
            <w:vAlign w:val="center"/>
          </w:tcPr>
          <w:p w14:paraId="1D560C92" w14:textId="77777777" w:rsidR="00242649" w:rsidRPr="00C7629D" w:rsidRDefault="00242649" w:rsidP="007431CE">
            <w:pPr>
              <w:pStyle w:val="Odsekzoznamu1"/>
              <w:spacing w:after="0" w:line="240" w:lineRule="auto"/>
              <w:ind w:left="0"/>
              <w:jc w:val="center"/>
              <w:rPr>
                <w:b/>
              </w:rPr>
            </w:pPr>
            <w:r w:rsidRPr="00AB5126">
              <w:rPr>
                <w:b/>
              </w:rPr>
              <w:t>Zmena v %</w:t>
            </w:r>
          </w:p>
        </w:tc>
      </w:tr>
      <w:tr w:rsidR="00474C72" w14:paraId="5CF75760" w14:textId="77777777" w:rsidTr="007431CE">
        <w:tc>
          <w:tcPr>
            <w:tcW w:w="3572" w:type="dxa"/>
          </w:tcPr>
          <w:p w14:paraId="1F134719" w14:textId="77777777" w:rsidR="00474C72" w:rsidRDefault="00474C72" w:rsidP="00474C72">
            <w:pPr>
              <w:pStyle w:val="Odsekzoznamu1"/>
              <w:spacing w:after="0" w:line="240" w:lineRule="auto"/>
              <w:ind w:left="0"/>
            </w:pPr>
            <w:r>
              <w:t>Náklady na predaný tovar</w:t>
            </w:r>
          </w:p>
        </w:tc>
        <w:tc>
          <w:tcPr>
            <w:tcW w:w="1418" w:type="dxa"/>
            <w:vAlign w:val="center"/>
          </w:tcPr>
          <w:p w14:paraId="419B4952" w14:textId="0E9EBF67" w:rsidR="00474C72" w:rsidRPr="00A64DBF" w:rsidRDefault="00474C72" w:rsidP="00474C72">
            <w:pPr>
              <w:spacing w:after="0" w:line="240" w:lineRule="auto"/>
              <w:jc w:val="right"/>
              <w:rPr>
                <w:rFonts w:cs="Times New Roman"/>
                <w:color w:val="000000"/>
                <w:lang w:eastAsia="sk-SK"/>
              </w:rPr>
            </w:pPr>
            <w:r>
              <w:rPr>
                <w:rFonts w:cs="Times New Roman"/>
                <w:color w:val="000000"/>
                <w:lang w:eastAsia="sk-SK"/>
              </w:rPr>
              <w:t>8 072 321</w:t>
            </w:r>
          </w:p>
        </w:tc>
        <w:tc>
          <w:tcPr>
            <w:tcW w:w="1418" w:type="dxa"/>
            <w:vAlign w:val="center"/>
          </w:tcPr>
          <w:p w14:paraId="7D58B450" w14:textId="681D0DD9" w:rsidR="00474C72" w:rsidRPr="00A64DBF" w:rsidRDefault="00474C72" w:rsidP="00474C72">
            <w:pPr>
              <w:spacing w:after="0" w:line="240" w:lineRule="auto"/>
              <w:jc w:val="right"/>
              <w:rPr>
                <w:rFonts w:cs="Times New Roman"/>
                <w:color w:val="000000"/>
                <w:lang w:eastAsia="sk-SK"/>
              </w:rPr>
            </w:pPr>
            <w:r>
              <w:rPr>
                <w:rFonts w:cs="Times New Roman"/>
                <w:color w:val="000000"/>
                <w:lang w:eastAsia="sk-SK"/>
              </w:rPr>
              <w:t>5 604 068</w:t>
            </w:r>
          </w:p>
        </w:tc>
        <w:tc>
          <w:tcPr>
            <w:tcW w:w="1418" w:type="dxa"/>
            <w:vAlign w:val="center"/>
          </w:tcPr>
          <w:p w14:paraId="4F0A65FC" w14:textId="2A1CB143" w:rsidR="00474C72" w:rsidRPr="00A64DBF" w:rsidRDefault="00075C42" w:rsidP="00474C72">
            <w:pPr>
              <w:spacing w:after="0" w:line="240" w:lineRule="auto"/>
              <w:jc w:val="right"/>
              <w:rPr>
                <w:rFonts w:cs="Times New Roman"/>
                <w:color w:val="000000"/>
                <w:lang w:eastAsia="sk-SK"/>
              </w:rPr>
            </w:pPr>
            <w:r>
              <w:rPr>
                <w:rFonts w:cs="Times New Roman"/>
                <w:color w:val="000000"/>
                <w:lang w:eastAsia="sk-SK"/>
              </w:rPr>
              <w:t>44 %</w:t>
            </w:r>
          </w:p>
        </w:tc>
      </w:tr>
      <w:tr w:rsidR="00474C72" w14:paraId="5DF9E334" w14:textId="77777777" w:rsidTr="00084E57">
        <w:tc>
          <w:tcPr>
            <w:tcW w:w="3572" w:type="dxa"/>
          </w:tcPr>
          <w:p w14:paraId="2F9B2DFE" w14:textId="77777777" w:rsidR="00474C72" w:rsidRPr="00C7629D" w:rsidRDefault="00474C72" w:rsidP="00474C72">
            <w:pPr>
              <w:pStyle w:val="Odsekzoznamu1"/>
              <w:spacing w:after="0" w:line="240" w:lineRule="auto"/>
              <w:ind w:left="0"/>
            </w:pPr>
            <w:r>
              <w:t>Služby</w:t>
            </w:r>
          </w:p>
        </w:tc>
        <w:tc>
          <w:tcPr>
            <w:tcW w:w="1418" w:type="dxa"/>
            <w:vAlign w:val="center"/>
          </w:tcPr>
          <w:p w14:paraId="6F403759" w14:textId="08B56073" w:rsidR="00474C72" w:rsidRPr="00A64DBF" w:rsidRDefault="00474C72" w:rsidP="00474C72">
            <w:pPr>
              <w:spacing w:after="0" w:line="240" w:lineRule="auto"/>
              <w:jc w:val="right"/>
              <w:rPr>
                <w:rFonts w:cs="Times New Roman"/>
                <w:color w:val="000000"/>
                <w:lang w:eastAsia="sk-SK"/>
              </w:rPr>
            </w:pPr>
            <w:r>
              <w:rPr>
                <w:rFonts w:cs="Times New Roman"/>
                <w:color w:val="000000"/>
                <w:lang w:eastAsia="sk-SK"/>
              </w:rPr>
              <w:t>2 670 788</w:t>
            </w:r>
          </w:p>
        </w:tc>
        <w:tc>
          <w:tcPr>
            <w:tcW w:w="1418" w:type="dxa"/>
            <w:vAlign w:val="center"/>
          </w:tcPr>
          <w:p w14:paraId="0D983584" w14:textId="3DA93126" w:rsidR="00474C72" w:rsidRPr="00A64DBF" w:rsidRDefault="00474C72" w:rsidP="00474C72">
            <w:pPr>
              <w:spacing w:after="0" w:line="240" w:lineRule="auto"/>
              <w:jc w:val="right"/>
              <w:rPr>
                <w:rFonts w:cs="Times New Roman"/>
                <w:color w:val="000000"/>
                <w:lang w:eastAsia="sk-SK"/>
              </w:rPr>
            </w:pPr>
            <w:r>
              <w:rPr>
                <w:rFonts w:cs="Times New Roman"/>
                <w:color w:val="000000"/>
                <w:lang w:eastAsia="sk-SK"/>
              </w:rPr>
              <w:t>2 333 176</w:t>
            </w:r>
          </w:p>
        </w:tc>
        <w:tc>
          <w:tcPr>
            <w:tcW w:w="1418" w:type="dxa"/>
            <w:vAlign w:val="center"/>
          </w:tcPr>
          <w:p w14:paraId="2349B6E3" w14:textId="58C1EEB8" w:rsidR="00474C72" w:rsidRPr="00A64DBF" w:rsidRDefault="00AB5126" w:rsidP="00474C72">
            <w:pPr>
              <w:spacing w:after="0" w:line="240" w:lineRule="auto"/>
              <w:jc w:val="right"/>
              <w:rPr>
                <w:rFonts w:cs="Times New Roman"/>
                <w:color w:val="000000"/>
                <w:lang w:eastAsia="sk-SK"/>
              </w:rPr>
            </w:pPr>
            <w:r>
              <w:rPr>
                <w:rFonts w:cs="Times New Roman"/>
                <w:color w:val="000000"/>
                <w:lang w:eastAsia="sk-SK"/>
              </w:rPr>
              <w:t>14 %</w:t>
            </w:r>
          </w:p>
        </w:tc>
      </w:tr>
      <w:tr w:rsidR="00474C72" w14:paraId="6619976E" w14:textId="77777777" w:rsidTr="007431CE">
        <w:tc>
          <w:tcPr>
            <w:tcW w:w="3572" w:type="dxa"/>
          </w:tcPr>
          <w:p w14:paraId="17DFEE1F" w14:textId="77777777" w:rsidR="00474C72" w:rsidRPr="00C7629D" w:rsidRDefault="00474C72" w:rsidP="00474C72">
            <w:pPr>
              <w:pStyle w:val="Odsekzoznamu1"/>
              <w:spacing w:after="0" w:line="240" w:lineRule="auto"/>
              <w:ind w:left="0"/>
            </w:pPr>
            <w:r>
              <w:t>Mzdové</w:t>
            </w:r>
            <w:r w:rsidRPr="00C7629D">
              <w:t xml:space="preserve"> náklady</w:t>
            </w:r>
          </w:p>
        </w:tc>
        <w:tc>
          <w:tcPr>
            <w:tcW w:w="1418" w:type="dxa"/>
            <w:vAlign w:val="center"/>
          </w:tcPr>
          <w:p w14:paraId="04BED27D" w14:textId="39DBBA02" w:rsidR="00474C72" w:rsidRPr="00A64DBF" w:rsidRDefault="00474C72" w:rsidP="00474C72">
            <w:pPr>
              <w:spacing w:after="0" w:line="240" w:lineRule="auto"/>
              <w:jc w:val="right"/>
              <w:rPr>
                <w:rFonts w:cs="Times New Roman"/>
                <w:color w:val="000000"/>
                <w:lang w:eastAsia="sk-SK"/>
              </w:rPr>
            </w:pPr>
            <w:r>
              <w:rPr>
                <w:rFonts w:cs="Times New Roman"/>
                <w:color w:val="000000"/>
                <w:lang w:eastAsia="sk-SK"/>
              </w:rPr>
              <w:t>5 264 577</w:t>
            </w:r>
          </w:p>
        </w:tc>
        <w:tc>
          <w:tcPr>
            <w:tcW w:w="1418" w:type="dxa"/>
            <w:vAlign w:val="center"/>
          </w:tcPr>
          <w:p w14:paraId="279DB3DE" w14:textId="1ECF4730" w:rsidR="00474C72" w:rsidRPr="00A64DBF" w:rsidRDefault="00474C72" w:rsidP="00474C72">
            <w:pPr>
              <w:spacing w:after="0" w:line="240" w:lineRule="auto"/>
              <w:jc w:val="right"/>
              <w:rPr>
                <w:rFonts w:cs="Times New Roman"/>
                <w:color w:val="000000"/>
                <w:lang w:eastAsia="sk-SK"/>
              </w:rPr>
            </w:pPr>
            <w:r>
              <w:rPr>
                <w:rFonts w:cs="Times New Roman"/>
                <w:color w:val="000000"/>
                <w:lang w:eastAsia="sk-SK"/>
              </w:rPr>
              <w:t>4 663 312</w:t>
            </w:r>
          </w:p>
        </w:tc>
        <w:tc>
          <w:tcPr>
            <w:tcW w:w="1418" w:type="dxa"/>
            <w:vAlign w:val="center"/>
          </w:tcPr>
          <w:p w14:paraId="680A16CD" w14:textId="22EFE169" w:rsidR="00474C72" w:rsidRPr="00A64DBF" w:rsidRDefault="00AB5126" w:rsidP="00474C72">
            <w:pPr>
              <w:spacing w:after="0" w:line="240" w:lineRule="auto"/>
              <w:jc w:val="right"/>
              <w:rPr>
                <w:rFonts w:cs="Times New Roman"/>
                <w:color w:val="000000"/>
                <w:lang w:eastAsia="sk-SK"/>
              </w:rPr>
            </w:pPr>
            <w:r>
              <w:rPr>
                <w:rFonts w:cs="Times New Roman"/>
                <w:color w:val="000000"/>
                <w:lang w:eastAsia="sk-SK"/>
              </w:rPr>
              <w:t>13 %</w:t>
            </w:r>
          </w:p>
        </w:tc>
      </w:tr>
      <w:tr w:rsidR="00474C72" w14:paraId="76969ACD" w14:textId="77777777" w:rsidTr="007431CE">
        <w:tc>
          <w:tcPr>
            <w:tcW w:w="3572" w:type="dxa"/>
          </w:tcPr>
          <w:p w14:paraId="4FD66ECE" w14:textId="77777777" w:rsidR="00474C72" w:rsidRPr="00C7629D" w:rsidRDefault="00474C72" w:rsidP="00474C72">
            <w:pPr>
              <w:pStyle w:val="Odsekzoznamu1"/>
              <w:spacing w:after="0" w:line="240" w:lineRule="auto"/>
              <w:ind w:left="0"/>
            </w:pPr>
            <w:r>
              <w:t>Náklady na sociálne poistenie</w:t>
            </w:r>
          </w:p>
        </w:tc>
        <w:tc>
          <w:tcPr>
            <w:tcW w:w="1418" w:type="dxa"/>
            <w:vAlign w:val="center"/>
          </w:tcPr>
          <w:p w14:paraId="7065BF9B" w14:textId="65DB02E4" w:rsidR="00474C72" w:rsidRPr="00A64DBF" w:rsidRDefault="00474C72" w:rsidP="00474C72">
            <w:pPr>
              <w:spacing w:after="0" w:line="240" w:lineRule="auto"/>
              <w:jc w:val="right"/>
              <w:rPr>
                <w:rFonts w:cs="Times New Roman"/>
                <w:color w:val="000000"/>
                <w:lang w:eastAsia="sk-SK"/>
              </w:rPr>
            </w:pPr>
            <w:r>
              <w:rPr>
                <w:rFonts w:cs="Times New Roman"/>
                <w:color w:val="000000"/>
                <w:lang w:eastAsia="sk-SK"/>
              </w:rPr>
              <w:t>1 742 909</w:t>
            </w:r>
          </w:p>
        </w:tc>
        <w:tc>
          <w:tcPr>
            <w:tcW w:w="1418" w:type="dxa"/>
            <w:vAlign w:val="center"/>
          </w:tcPr>
          <w:p w14:paraId="0A74974C" w14:textId="10EAC1C0" w:rsidR="00474C72" w:rsidRPr="00A64DBF" w:rsidRDefault="00474C72" w:rsidP="00474C72">
            <w:pPr>
              <w:spacing w:after="0" w:line="240" w:lineRule="auto"/>
              <w:jc w:val="right"/>
              <w:rPr>
                <w:rFonts w:cs="Times New Roman"/>
                <w:color w:val="000000"/>
                <w:lang w:eastAsia="sk-SK"/>
              </w:rPr>
            </w:pPr>
            <w:r>
              <w:rPr>
                <w:rFonts w:cs="Times New Roman"/>
                <w:color w:val="000000"/>
                <w:lang w:eastAsia="sk-SK"/>
              </w:rPr>
              <w:t>1 193 973</w:t>
            </w:r>
          </w:p>
        </w:tc>
        <w:tc>
          <w:tcPr>
            <w:tcW w:w="1418" w:type="dxa"/>
            <w:vAlign w:val="center"/>
          </w:tcPr>
          <w:p w14:paraId="35DCE6FF" w14:textId="67A74771" w:rsidR="00474C72" w:rsidRPr="00A64DBF" w:rsidRDefault="00AB5126" w:rsidP="00474C72">
            <w:pPr>
              <w:spacing w:after="0" w:line="240" w:lineRule="auto"/>
              <w:jc w:val="right"/>
              <w:rPr>
                <w:rFonts w:cs="Times New Roman"/>
                <w:color w:val="000000"/>
                <w:lang w:eastAsia="sk-SK"/>
              </w:rPr>
            </w:pPr>
            <w:r>
              <w:rPr>
                <w:rFonts w:cs="Times New Roman"/>
                <w:color w:val="000000"/>
                <w:lang w:eastAsia="sk-SK"/>
              </w:rPr>
              <w:t>46 %</w:t>
            </w:r>
          </w:p>
        </w:tc>
      </w:tr>
      <w:tr w:rsidR="00474C72" w14:paraId="1BD3C5BD" w14:textId="77777777" w:rsidTr="007431CE">
        <w:tc>
          <w:tcPr>
            <w:tcW w:w="3572" w:type="dxa"/>
          </w:tcPr>
          <w:p w14:paraId="0ABDA655" w14:textId="77777777" w:rsidR="00474C72" w:rsidRPr="00C7629D" w:rsidRDefault="00474C72" w:rsidP="00474C72">
            <w:pPr>
              <w:pStyle w:val="Odsekzoznamu1"/>
              <w:spacing w:after="0" w:line="240" w:lineRule="auto"/>
              <w:ind w:left="0"/>
            </w:pPr>
            <w:r>
              <w:t>Spotreba materiálu</w:t>
            </w:r>
          </w:p>
        </w:tc>
        <w:tc>
          <w:tcPr>
            <w:tcW w:w="1418" w:type="dxa"/>
            <w:vAlign w:val="center"/>
          </w:tcPr>
          <w:p w14:paraId="28A2C819" w14:textId="1E0AD659" w:rsidR="00474C72" w:rsidRPr="00A64DBF" w:rsidRDefault="00474C72" w:rsidP="00474C72">
            <w:pPr>
              <w:spacing w:after="0" w:line="240" w:lineRule="auto"/>
              <w:jc w:val="right"/>
              <w:rPr>
                <w:rFonts w:cs="Times New Roman"/>
                <w:color w:val="000000"/>
                <w:lang w:eastAsia="sk-SK"/>
              </w:rPr>
            </w:pPr>
            <w:r>
              <w:rPr>
                <w:rFonts w:cs="Times New Roman"/>
                <w:color w:val="000000"/>
                <w:lang w:eastAsia="sk-SK"/>
              </w:rPr>
              <w:t>206 355</w:t>
            </w:r>
          </w:p>
        </w:tc>
        <w:tc>
          <w:tcPr>
            <w:tcW w:w="1418" w:type="dxa"/>
            <w:vAlign w:val="center"/>
          </w:tcPr>
          <w:p w14:paraId="07E329EC" w14:textId="191796E7" w:rsidR="00474C72" w:rsidRPr="00A64DBF" w:rsidRDefault="00474C72" w:rsidP="00474C72">
            <w:pPr>
              <w:spacing w:after="0" w:line="240" w:lineRule="auto"/>
              <w:jc w:val="right"/>
              <w:rPr>
                <w:rFonts w:cs="Times New Roman"/>
                <w:color w:val="000000"/>
                <w:lang w:eastAsia="sk-SK"/>
              </w:rPr>
            </w:pPr>
            <w:r>
              <w:rPr>
                <w:rFonts w:cs="Times New Roman"/>
                <w:color w:val="000000"/>
                <w:lang w:eastAsia="sk-SK"/>
              </w:rPr>
              <w:t>207 151</w:t>
            </w:r>
          </w:p>
        </w:tc>
        <w:tc>
          <w:tcPr>
            <w:tcW w:w="1418" w:type="dxa"/>
            <w:vAlign w:val="center"/>
          </w:tcPr>
          <w:p w14:paraId="30CBF71C" w14:textId="176CB323" w:rsidR="00474C72" w:rsidRPr="00A64DBF" w:rsidRDefault="00AB5126" w:rsidP="00474C72">
            <w:pPr>
              <w:spacing w:after="0" w:line="240" w:lineRule="auto"/>
              <w:jc w:val="right"/>
              <w:rPr>
                <w:rFonts w:cs="Times New Roman"/>
                <w:color w:val="000000"/>
                <w:lang w:eastAsia="sk-SK"/>
              </w:rPr>
            </w:pPr>
            <w:r>
              <w:rPr>
                <w:rFonts w:cs="Times New Roman"/>
                <w:color w:val="000000"/>
                <w:lang w:eastAsia="sk-SK"/>
              </w:rPr>
              <w:t>0 %</w:t>
            </w:r>
          </w:p>
        </w:tc>
      </w:tr>
      <w:tr w:rsidR="00474C72" w14:paraId="0983FBD9" w14:textId="77777777" w:rsidTr="007431CE">
        <w:tc>
          <w:tcPr>
            <w:tcW w:w="3572" w:type="dxa"/>
          </w:tcPr>
          <w:p w14:paraId="0835AF8B" w14:textId="13B83FCB" w:rsidR="00474C72" w:rsidRDefault="00474C72" w:rsidP="00474C72">
            <w:pPr>
              <w:pStyle w:val="Odsekzoznamu1"/>
              <w:spacing w:after="0" w:line="240" w:lineRule="auto"/>
              <w:ind w:left="0"/>
            </w:pPr>
            <w:r>
              <w:t>Odpisy a opravné položky</w:t>
            </w:r>
          </w:p>
        </w:tc>
        <w:tc>
          <w:tcPr>
            <w:tcW w:w="1418" w:type="dxa"/>
            <w:vAlign w:val="center"/>
          </w:tcPr>
          <w:p w14:paraId="0E9C0FA9" w14:textId="12883597" w:rsidR="00474C72" w:rsidRDefault="00474C72" w:rsidP="00474C72">
            <w:pPr>
              <w:spacing w:after="0" w:line="240" w:lineRule="auto"/>
              <w:jc w:val="right"/>
              <w:rPr>
                <w:rFonts w:cs="Times New Roman"/>
                <w:color w:val="000000"/>
                <w:lang w:eastAsia="sk-SK"/>
              </w:rPr>
            </w:pPr>
            <w:r>
              <w:rPr>
                <w:rFonts w:cs="Times New Roman"/>
                <w:color w:val="000000"/>
                <w:lang w:eastAsia="sk-SK"/>
              </w:rPr>
              <w:t>334 084</w:t>
            </w:r>
          </w:p>
        </w:tc>
        <w:tc>
          <w:tcPr>
            <w:tcW w:w="1418" w:type="dxa"/>
            <w:vAlign w:val="center"/>
          </w:tcPr>
          <w:p w14:paraId="141187A9" w14:textId="3904DF94" w:rsidR="00474C72" w:rsidRDefault="00474C72" w:rsidP="00474C72">
            <w:pPr>
              <w:spacing w:after="0" w:line="240" w:lineRule="auto"/>
              <w:jc w:val="right"/>
              <w:rPr>
                <w:rFonts w:cs="Times New Roman"/>
                <w:color w:val="000000"/>
                <w:lang w:eastAsia="sk-SK"/>
              </w:rPr>
            </w:pPr>
            <w:r>
              <w:rPr>
                <w:rFonts w:cs="Times New Roman"/>
                <w:color w:val="000000"/>
                <w:lang w:eastAsia="sk-SK"/>
              </w:rPr>
              <w:t>464 448</w:t>
            </w:r>
          </w:p>
        </w:tc>
        <w:tc>
          <w:tcPr>
            <w:tcW w:w="1418" w:type="dxa"/>
            <w:vAlign w:val="center"/>
          </w:tcPr>
          <w:p w14:paraId="7F8E19E2" w14:textId="40210D92" w:rsidR="00474C72" w:rsidRDefault="00AB5126" w:rsidP="00474C72">
            <w:pPr>
              <w:spacing w:after="0" w:line="240" w:lineRule="auto"/>
              <w:jc w:val="right"/>
              <w:rPr>
                <w:rFonts w:cs="Times New Roman"/>
                <w:color w:val="000000"/>
                <w:lang w:eastAsia="sk-SK"/>
              </w:rPr>
            </w:pPr>
            <w:r>
              <w:rPr>
                <w:rFonts w:cs="Times New Roman"/>
                <w:color w:val="000000"/>
                <w:lang w:eastAsia="sk-SK"/>
              </w:rPr>
              <w:t>-28 %</w:t>
            </w:r>
          </w:p>
        </w:tc>
      </w:tr>
      <w:tr w:rsidR="00474C72" w14:paraId="091D45A1" w14:textId="77777777" w:rsidTr="007431CE">
        <w:tc>
          <w:tcPr>
            <w:tcW w:w="3572" w:type="dxa"/>
          </w:tcPr>
          <w:p w14:paraId="04601EEC" w14:textId="70602787" w:rsidR="00474C72" w:rsidRDefault="00474C72" w:rsidP="00474C72">
            <w:pPr>
              <w:pStyle w:val="Odsekzoznamu1"/>
              <w:spacing w:after="0" w:line="240" w:lineRule="auto"/>
              <w:ind w:left="0"/>
            </w:pPr>
            <w:r>
              <w:t>Ostatné náklady</w:t>
            </w:r>
          </w:p>
        </w:tc>
        <w:tc>
          <w:tcPr>
            <w:tcW w:w="1418" w:type="dxa"/>
            <w:vAlign w:val="center"/>
          </w:tcPr>
          <w:p w14:paraId="768EFF60" w14:textId="597553D2" w:rsidR="00474C72" w:rsidRDefault="00CC0F8A" w:rsidP="00474C72">
            <w:pPr>
              <w:spacing w:after="0" w:line="240" w:lineRule="auto"/>
              <w:jc w:val="right"/>
              <w:rPr>
                <w:rFonts w:cs="Times New Roman"/>
                <w:color w:val="000000"/>
                <w:lang w:eastAsia="sk-SK"/>
              </w:rPr>
            </w:pPr>
            <w:r>
              <w:rPr>
                <w:rFonts w:cs="Times New Roman"/>
                <w:color w:val="000000"/>
                <w:lang w:eastAsia="sk-SK"/>
              </w:rPr>
              <w:t>317 740</w:t>
            </w:r>
          </w:p>
        </w:tc>
        <w:tc>
          <w:tcPr>
            <w:tcW w:w="1418" w:type="dxa"/>
            <w:vAlign w:val="center"/>
          </w:tcPr>
          <w:p w14:paraId="66E7F631" w14:textId="0B020B6F" w:rsidR="00474C72" w:rsidRDefault="00474C72" w:rsidP="00474C72">
            <w:pPr>
              <w:spacing w:after="0" w:line="240" w:lineRule="auto"/>
              <w:jc w:val="right"/>
              <w:rPr>
                <w:rFonts w:cs="Times New Roman"/>
                <w:color w:val="000000"/>
                <w:lang w:eastAsia="sk-SK"/>
              </w:rPr>
            </w:pPr>
            <w:r>
              <w:rPr>
                <w:rFonts w:cs="Times New Roman"/>
                <w:color w:val="000000"/>
                <w:lang w:eastAsia="sk-SK"/>
              </w:rPr>
              <w:t>148 515</w:t>
            </w:r>
          </w:p>
        </w:tc>
        <w:tc>
          <w:tcPr>
            <w:tcW w:w="1418" w:type="dxa"/>
            <w:vAlign w:val="center"/>
          </w:tcPr>
          <w:p w14:paraId="6BDC9A6D" w14:textId="4F127B4C" w:rsidR="00474C72" w:rsidRDefault="00AB5126" w:rsidP="00474C72">
            <w:pPr>
              <w:spacing w:after="0" w:line="240" w:lineRule="auto"/>
              <w:jc w:val="right"/>
              <w:rPr>
                <w:rFonts w:cs="Times New Roman"/>
                <w:color w:val="000000"/>
                <w:lang w:eastAsia="sk-SK"/>
              </w:rPr>
            </w:pPr>
            <w:r>
              <w:rPr>
                <w:rFonts w:cs="Times New Roman"/>
                <w:color w:val="000000"/>
                <w:lang w:eastAsia="sk-SK"/>
              </w:rPr>
              <w:t>114 %</w:t>
            </w:r>
          </w:p>
        </w:tc>
      </w:tr>
      <w:tr w:rsidR="00474C72" w14:paraId="3CE135E1" w14:textId="77777777" w:rsidTr="007431CE">
        <w:tc>
          <w:tcPr>
            <w:tcW w:w="3572" w:type="dxa"/>
          </w:tcPr>
          <w:p w14:paraId="0234143F" w14:textId="143BD818" w:rsidR="00474C72" w:rsidRPr="007E36DE" w:rsidRDefault="00474C72" w:rsidP="00474C72">
            <w:pPr>
              <w:pStyle w:val="Odsekzoznamu1"/>
              <w:spacing w:after="0" w:line="240" w:lineRule="auto"/>
              <w:ind w:left="0"/>
              <w:rPr>
                <w:b/>
              </w:rPr>
            </w:pPr>
            <w:r w:rsidRPr="007E36DE">
              <w:rPr>
                <w:b/>
              </w:rPr>
              <w:t>Spolu</w:t>
            </w:r>
          </w:p>
        </w:tc>
        <w:tc>
          <w:tcPr>
            <w:tcW w:w="1418" w:type="dxa"/>
            <w:vAlign w:val="center"/>
          </w:tcPr>
          <w:p w14:paraId="22F95C9A" w14:textId="163EC7C2" w:rsidR="00474C72" w:rsidRPr="007E36DE" w:rsidRDefault="00474C72" w:rsidP="00474C72">
            <w:pPr>
              <w:spacing w:after="0" w:line="240" w:lineRule="auto"/>
              <w:jc w:val="right"/>
              <w:rPr>
                <w:rFonts w:cs="Times New Roman"/>
                <w:b/>
                <w:color w:val="000000"/>
                <w:lang w:eastAsia="sk-SK"/>
              </w:rPr>
            </w:pPr>
            <w:r>
              <w:rPr>
                <w:rFonts w:cs="Times New Roman"/>
                <w:b/>
                <w:color w:val="000000"/>
                <w:lang w:eastAsia="sk-SK"/>
              </w:rPr>
              <w:t>18 608 774</w:t>
            </w:r>
          </w:p>
        </w:tc>
        <w:tc>
          <w:tcPr>
            <w:tcW w:w="1418" w:type="dxa"/>
            <w:vAlign w:val="center"/>
          </w:tcPr>
          <w:p w14:paraId="53623DC3" w14:textId="687D4C8E" w:rsidR="00474C72" w:rsidRPr="007E36DE" w:rsidRDefault="00474C72" w:rsidP="00474C72">
            <w:pPr>
              <w:spacing w:after="0" w:line="240" w:lineRule="auto"/>
              <w:jc w:val="right"/>
              <w:rPr>
                <w:rFonts w:cs="Times New Roman"/>
                <w:b/>
                <w:color w:val="000000"/>
                <w:lang w:eastAsia="sk-SK"/>
              </w:rPr>
            </w:pPr>
            <w:r w:rsidRPr="007E36DE">
              <w:rPr>
                <w:rFonts w:cs="Times New Roman"/>
                <w:b/>
                <w:color w:val="000000"/>
                <w:lang w:eastAsia="sk-SK"/>
              </w:rPr>
              <w:t>14 614 643</w:t>
            </w:r>
          </w:p>
        </w:tc>
        <w:tc>
          <w:tcPr>
            <w:tcW w:w="1418" w:type="dxa"/>
            <w:vAlign w:val="center"/>
          </w:tcPr>
          <w:p w14:paraId="7AE84D0F" w14:textId="1310E39C" w:rsidR="00474C72" w:rsidRPr="007E36DE" w:rsidRDefault="00AB5126" w:rsidP="00474C72">
            <w:pPr>
              <w:spacing w:after="0" w:line="240" w:lineRule="auto"/>
              <w:jc w:val="right"/>
              <w:rPr>
                <w:rFonts w:cs="Times New Roman"/>
                <w:b/>
                <w:color w:val="000000"/>
                <w:lang w:eastAsia="sk-SK"/>
              </w:rPr>
            </w:pPr>
            <w:r>
              <w:rPr>
                <w:rFonts w:cs="Times New Roman"/>
                <w:b/>
                <w:color w:val="000000"/>
                <w:lang w:eastAsia="sk-SK"/>
              </w:rPr>
              <w:t>27 %</w:t>
            </w:r>
          </w:p>
        </w:tc>
      </w:tr>
    </w:tbl>
    <w:p w14:paraId="2655B1F6" w14:textId="77777777" w:rsidR="00242649" w:rsidRDefault="00242649" w:rsidP="00465F0E">
      <w:pPr>
        <w:pStyle w:val="Odsekzoznamu1"/>
        <w:spacing w:after="0" w:line="240" w:lineRule="auto"/>
        <w:ind w:left="1080"/>
        <w:rPr>
          <w:sz w:val="20"/>
          <w:szCs w:val="20"/>
        </w:rPr>
      </w:pPr>
    </w:p>
    <w:p w14:paraId="0E09FC95" w14:textId="302B8ECF" w:rsidR="00F52A9A" w:rsidRPr="006D3375" w:rsidRDefault="00F52A9A" w:rsidP="002A67E7">
      <w:pPr>
        <w:pStyle w:val="ODSAD"/>
        <w:tabs>
          <w:tab w:val="clear" w:pos="567"/>
          <w:tab w:val="left" w:pos="1134"/>
        </w:tabs>
        <w:spacing w:after="0"/>
        <w:ind w:left="993" w:firstLine="0"/>
        <w:rPr>
          <w:rFonts w:ascii="Calibri" w:hAnsi="Calibri" w:cs="Calibri"/>
          <w:b/>
          <w:sz w:val="22"/>
          <w:szCs w:val="22"/>
          <w:u w:val="single"/>
        </w:rPr>
      </w:pPr>
      <w:r w:rsidRPr="006D3375">
        <w:rPr>
          <w:rFonts w:ascii="Calibri" w:hAnsi="Calibri" w:cs="Calibri"/>
          <w:b/>
          <w:sz w:val="22"/>
          <w:szCs w:val="22"/>
          <w:u w:val="single"/>
        </w:rPr>
        <w:t>Náklady na predaný tovar</w:t>
      </w:r>
    </w:p>
    <w:p w14:paraId="5B1C5EE1" w14:textId="786C3FEC" w:rsidR="0026192F" w:rsidRDefault="0030624E" w:rsidP="002A67E7">
      <w:pPr>
        <w:pStyle w:val="ODSAD"/>
        <w:tabs>
          <w:tab w:val="clear" w:pos="567"/>
          <w:tab w:val="left" w:pos="1134"/>
        </w:tabs>
        <w:spacing w:after="0"/>
        <w:ind w:left="993" w:firstLine="0"/>
        <w:rPr>
          <w:rFonts w:ascii="Calibri" w:hAnsi="Calibri" w:cs="Calibri"/>
          <w:sz w:val="22"/>
          <w:szCs w:val="22"/>
        </w:rPr>
      </w:pPr>
      <w:r w:rsidRPr="0030624E">
        <w:rPr>
          <w:rFonts w:ascii="Calibri" w:hAnsi="Calibri" w:cs="Calibri"/>
          <w:sz w:val="22"/>
          <w:szCs w:val="22"/>
        </w:rPr>
        <w:t>Ročný nárast nákladov na obstaranie predaného tovaru koreluje s nárastom tržieb z predaja tovaru</w:t>
      </w:r>
      <w:r w:rsidR="00DB5560">
        <w:rPr>
          <w:rFonts w:ascii="Calibri" w:hAnsi="Calibri" w:cs="Calibri"/>
          <w:sz w:val="22"/>
          <w:szCs w:val="22"/>
        </w:rPr>
        <w:t>.</w:t>
      </w:r>
      <w:r w:rsidRPr="0030624E">
        <w:rPr>
          <w:rFonts w:ascii="Calibri" w:hAnsi="Calibri" w:cs="Calibri"/>
          <w:sz w:val="22"/>
          <w:szCs w:val="22"/>
        </w:rPr>
        <w:t xml:space="preserve"> Celkový nárast </w:t>
      </w:r>
      <w:r w:rsidR="006D3375">
        <w:rPr>
          <w:rFonts w:ascii="Calibri" w:hAnsi="Calibri" w:cs="Calibri"/>
          <w:sz w:val="22"/>
          <w:szCs w:val="22"/>
        </w:rPr>
        <w:t xml:space="preserve">týchto </w:t>
      </w:r>
      <w:r w:rsidRPr="0030624E">
        <w:rPr>
          <w:rFonts w:ascii="Calibri" w:hAnsi="Calibri" w:cs="Calibri"/>
          <w:sz w:val="22"/>
          <w:szCs w:val="22"/>
        </w:rPr>
        <w:t>nákladov o 2,4 mil. EUR bol spôsobený</w:t>
      </w:r>
      <w:r w:rsidR="006D3375">
        <w:rPr>
          <w:rFonts w:ascii="Calibri" w:hAnsi="Calibri" w:cs="Calibri"/>
          <w:sz w:val="22"/>
          <w:szCs w:val="22"/>
        </w:rPr>
        <w:t>:</w:t>
      </w:r>
      <w:r w:rsidRPr="0030624E">
        <w:rPr>
          <w:rFonts w:ascii="Calibri" w:hAnsi="Calibri" w:cs="Calibri"/>
          <w:sz w:val="22"/>
          <w:szCs w:val="22"/>
        </w:rPr>
        <w:t xml:space="preserve"> nárast</w:t>
      </w:r>
      <w:r>
        <w:rPr>
          <w:rFonts w:ascii="Calibri" w:hAnsi="Calibri" w:cs="Calibri"/>
          <w:sz w:val="22"/>
          <w:szCs w:val="22"/>
        </w:rPr>
        <w:t>om</w:t>
      </w:r>
      <w:r w:rsidRPr="0030624E">
        <w:rPr>
          <w:rFonts w:ascii="Calibri" w:hAnsi="Calibri" w:cs="Calibri"/>
          <w:sz w:val="22"/>
          <w:szCs w:val="22"/>
        </w:rPr>
        <w:t xml:space="preserve"> nákladov 2 mil. EUR na vyskladnenie nakúpených vybraných </w:t>
      </w:r>
      <w:r w:rsidR="006D3375">
        <w:rPr>
          <w:rFonts w:ascii="Calibri" w:hAnsi="Calibri" w:cs="Calibri"/>
          <w:sz w:val="22"/>
          <w:szCs w:val="22"/>
        </w:rPr>
        <w:t xml:space="preserve">strategických </w:t>
      </w:r>
      <w:r w:rsidRPr="0030624E">
        <w:rPr>
          <w:rFonts w:ascii="Calibri" w:hAnsi="Calibri" w:cs="Calibri"/>
          <w:sz w:val="22"/>
          <w:szCs w:val="22"/>
        </w:rPr>
        <w:t>surovín</w:t>
      </w:r>
      <w:r w:rsidR="006D3375">
        <w:rPr>
          <w:rFonts w:ascii="Calibri" w:hAnsi="Calibri" w:cs="Calibri"/>
          <w:sz w:val="22"/>
          <w:szCs w:val="22"/>
        </w:rPr>
        <w:t xml:space="preserve"> (re-predaj do skupiny  </w:t>
      </w:r>
      <w:r w:rsidRPr="0030624E">
        <w:rPr>
          <w:rFonts w:ascii="Calibri" w:hAnsi="Calibri" w:cs="Calibri"/>
          <w:sz w:val="22"/>
          <w:szCs w:val="22"/>
        </w:rPr>
        <w:t xml:space="preserve"> </w:t>
      </w:r>
      <w:r w:rsidR="00DB5560">
        <w:rPr>
          <w:rFonts w:ascii="Calibri" w:hAnsi="Calibri" w:cs="Calibri"/>
          <w:sz w:val="22"/>
          <w:szCs w:val="22"/>
        </w:rPr>
        <w:t>a externý</w:t>
      </w:r>
      <w:r w:rsidRPr="0030624E">
        <w:rPr>
          <w:rFonts w:ascii="Calibri" w:hAnsi="Calibri" w:cs="Calibri"/>
          <w:sz w:val="22"/>
          <w:szCs w:val="22"/>
        </w:rPr>
        <w:t xml:space="preserve"> predaj </w:t>
      </w:r>
      <w:r>
        <w:rPr>
          <w:rFonts w:ascii="Calibri" w:hAnsi="Calibri" w:cs="Calibri"/>
          <w:sz w:val="22"/>
          <w:szCs w:val="22"/>
        </w:rPr>
        <w:t>hydroxidu sodného</w:t>
      </w:r>
      <w:r w:rsidR="006D3375">
        <w:rPr>
          <w:rFonts w:ascii="Calibri" w:hAnsi="Calibri" w:cs="Calibri"/>
          <w:sz w:val="22"/>
          <w:szCs w:val="22"/>
        </w:rPr>
        <w:t xml:space="preserve">) a </w:t>
      </w:r>
      <w:r w:rsidRPr="0030624E">
        <w:rPr>
          <w:rFonts w:ascii="Calibri" w:hAnsi="Calibri" w:cs="Calibri"/>
          <w:sz w:val="22"/>
          <w:szCs w:val="22"/>
        </w:rPr>
        <w:t>nárast</w:t>
      </w:r>
      <w:r>
        <w:rPr>
          <w:rFonts w:ascii="Calibri" w:hAnsi="Calibri" w:cs="Calibri"/>
          <w:sz w:val="22"/>
          <w:szCs w:val="22"/>
        </w:rPr>
        <w:t>om</w:t>
      </w:r>
      <w:r w:rsidRPr="0030624E">
        <w:rPr>
          <w:rFonts w:ascii="Calibri" w:hAnsi="Calibri" w:cs="Calibri"/>
          <w:sz w:val="22"/>
          <w:szCs w:val="22"/>
        </w:rPr>
        <w:t xml:space="preserve"> nákladov +</w:t>
      </w:r>
      <w:r w:rsidR="006D3375">
        <w:rPr>
          <w:rFonts w:ascii="Calibri" w:hAnsi="Calibri" w:cs="Calibri"/>
          <w:sz w:val="22"/>
          <w:szCs w:val="22"/>
        </w:rPr>
        <w:t xml:space="preserve"> </w:t>
      </w:r>
      <w:r w:rsidRPr="0030624E">
        <w:rPr>
          <w:rFonts w:ascii="Calibri" w:hAnsi="Calibri" w:cs="Calibri"/>
          <w:sz w:val="22"/>
          <w:szCs w:val="22"/>
        </w:rPr>
        <w:t>359 tis. EUR súvisiacich s vyskladnením energií (</w:t>
      </w:r>
      <w:r w:rsidR="00A84544">
        <w:rPr>
          <w:rFonts w:ascii="Calibri" w:hAnsi="Calibri" w:cs="Calibri"/>
          <w:sz w:val="22"/>
          <w:szCs w:val="22"/>
        </w:rPr>
        <w:t>elektrická energia a zemný plyn</w:t>
      </w:r>
      <w:r>
        <w:rPr>
          <w:rFonts w:ascii="Calibri" w:hAnsi="Calibri" w:cs="Calibri"/>
          <w:sz w:val="22"/>
          <w:szCs w:val="22"/>
        </w:rPr>
        <w:t>)</w:t>
      </w:r>
      <w:r w:rsidR="006D3375">
        <w:rPr>
          <w:rFonts w:ascii="Calibri" w:hAnsi="Calibri" w:cs="Calibri"/>
          <w:sz w:val="22"/>
          <w:szCs w:val="22"/>
        </w:rPr>
        <w:t xml:space="preserve">. </w:t>
      </w:r>
    </w:p>
    <w:p w14:paraId="3635AD39" w14:textId="77777777" w:rsidR="0030624E" w:rsidRPr="00CC0F8A" w:rsidRDefault="0030624E" w:rsidP="002A67E7">
      <w:pPr>
        <w:pStyle w:val="ODSAD"/>
        <w:tabs>
          <w:tab w:val="clear" w:pos="567"/>
          <w:tab w:val="left" w:pos="1134"/>
        </w:tabs>
        <w:spacing w:after="0"/>
        <w:ind w:left="993" w:firstLine="0"/>
        <w:rPr>
          <w:highlight w:val="cyan"/>
        </w:rPr>
      </w:pPr>
    </w:p>
    <w:p w14:paraId="12127B43" w14:textId="0AE2B591" w:rsidR="00F52A9A" w:rsidRPr="006D3375" w:rsidRDefault="00F52A9A" w:rsidP="002A67E7">
      <w:pPr>
        <w:pStyle w:val="ODSAD"/>
        <w:tabs>
          <w:tab w:val="clear" w:pos="567"/>
          <w:tab w:val="left" w:pos="1134"/>
        </w:tabs>
        <w:spacing w:after="0"/>
        <w:ind w:left="993" w:firstLine="0"/>
        <w:rPr>
          <w:rFonts w:ascii="Calibri" w:hAnsi="Calibri" w:cs="Calibri"/>
          <w:b/>
          <w:sz w:val="22"/>
          <w:szCs w:val="22"/>
          <w:u w:val="single"/>
        </w:rPr>
      </w:pPr>
      <w:r w:rsidRPr="006D3375">
        <w:rPr>
          <w:rFonts w:ascii="Calibri" w:hAnsi="Calibri" w:cs="Calibri"/>
          <w:b/>
          <w:sz w:val="22"/>
          <w:szCs w:val="22"/>
          <w:u w:val="single"/>
        </w:rPr>
        <w:t>Mzdové náklady a náklady na sociálne poistenie</w:t>
      </w:r>
    </w:p>
    <w:p w14:paraId="7826A3C5" w14:textId="77777777" w:rsidR="00F8726F" w:rsidRPr="00CC0F8A" w:rsidRDefault="00F8726F" w:rsidP="002A67E7">
      <w:pPr>
        <w:pStyle w:val="ODSAD"/>
        <w:tabs>
          <w:tab w:val="clear" w:pos="567"/>
          <w:tab w:val="left" w:pos="1134"/>
        </w:tabs>
        <w:spacing w:after="0"/>
        <w:ind w:left="993" w:firstLine="0"/>
        <w:rPr>
          <w:rFonts w:ascii="Calibri" w:hAnsi="Calibri" w:cs="Calibri"/>
          <w:b/>
          <w:sz w:val="22"/>
          <w:szCs w:val="22"/>
          <w:highlight w:val="cyan"/>
        </w:rPr>
      </w:pPr>
    </w:p>
    <w:p w14:paraId="6D69D136" w14:textId="1990437E" w:rsidR="00F8726F" w:rsidRPr="00F8726F" w:rsidRDefault="00F8726F" w:rsidP="006D3375">
      <w:pPr>
        <w:autoSpaceDE w:val="0"/>
        <w:autoSpaceDN w:val="0"/>
        <w:adjustRightInd w:val="0"/>
        <w:spacing w:after="0" w:line="240" w:lineRule="auto"/>
        <w:ind w:left="993"/>
        <w:jc w:val="both"/>
      </w:pPr>
      <w:r>
        <w:t>M</w:t>
      </w:r>
      <w:r w:rsidRPr="00F8726F">
        <w:t>edziročný nárast mzdových nákladov súvisí s rastom počtu zamestnancov. Výraznejší nárast nákladov na sociálne poistenie je spôsobený medziročným rastom max. vymeriavacieho základu pre platby do sociálnej a zdravotných poisťovní. Čiastočne má na medziročný nárast vplyv aj zmena vnútornej štruktúry zamestnancov.</w:t>
      </w:r>
    </w:p>
    <w:p w14:paraId="71F15BDA" w14:textId="77777777" w:rsidR="0026192F" w:rsidRPr="00CC0F8A" w:rsidRDefault="0026192F" w:rsidP="002A67E7">
      <w:pPr>
        <w:pStyle w:val="ODSAD"/>
        <w:tabs>
          <w:tab w:val="clear" w:pos="567"/>
          <w:tab w:val="left" w:pos="1134"/>
        </w:tabs>
        <w:spacing w:after="0"/>
        <w:ind w:left="993" w:firstLine="0"/>
        <w:rPr>
          <w:highlight w:val="cyan"/>
        </w:rPr>
      </w:pPr>
    </w:p>
    <w:p w14:paraId="365C385E" w14:textId="0AEB4CF0" w:rsidR="00F52A9A" w:rsidRPr="006D3375" w:rsidRDefault="00F52A9A" w:rsidP="002A67E7">
      <w:pPr>
        <w:pStyle w:val="ODSAD"/>
        <w:tabs>
          <w:tab w:val="clear" w:pos="567"/>
          <w:tab w:val="left" w:pos="1134"/>
        </w:tabs>
        <w:spacing w:after="0"/>
        <w:ind w:left="993" w:firstLine="0"/>
        <w:rPr>
          <w:rFonts w:ascii="Calibri" w:hAnsi="Calibri" w:cs="Calibri"/>
          <w:b/>
          <w:sz w:val="22"/>
          <w:szCs w:val="22"/>
          <w:u w:val="single"/>
        </w:rPr>
      </w:pPr>
      <w:r w:rsidRPr="006D3375">
        <w:rPr>
          <w:rFonts w:ascii="Calibri" w:hAnsi="Calibri" w:cs="Calibri"/>
          <w:b/>
          <w:sz w:val="22"/>
          <w:szCs w:val="22"/>
          <w:u w:val="single"/>
        </w:rPr>
        <w:t>Služby</w:t>
      </w:r>
    </w:p>
    <w:p w14:paraId="40B3E9A3" w14:textId="0FEE75C3" w:rsidR="00A84544" w:rsidRPr="00A84544" w:rsidRDefault="00A84544" w:rsidP="00A84544">
      <w:pPr>
        <w:pStyle w:val="Zkladntext"/>
        <w:ind w:left="990"/>
        <w:rPr>
          <w:rFonts w:ascii="Calibri" w:hAnsi="Calibri" w:cs="Calibri"/>
          <w:sz w:val="22"/>
          <w:szCs w:val="22"/>
        </w:rPr>
      </w:pPr>
      <w:r w:rsidRPr="00A84544">
        <w:rPr>
          <w:rFonts w:ascii="Calibri" w:hAnsi="Calibri" w:cs="Calibri"/>
          <w:sz w:val="22"/>
          <w:szCs w:val="22"/>
        </w:rPr>
        <w:t xml:space="preserve">Zvýšenie nákladov na nájom o 337 tis. EUR súvisí </w:t>
      </w:r>
      <w:r>
        <w:rPr>
          <w:rFonts w:ascii="Calibri" w:hAnsi="Calibri" w:cs="Calibri"/>
          <w:sz w:val="22"/>
          <w:szCs w:val="22"/>
        </w:rPr>
        <w:t xml:space="preserve">najmä </w:t>
      </w:r>
      <w:r w:rsidRPr="00A84544">
        <w:rPr>
          <w:rFonts w:ascii="Calibri" w:hAnsi="Calibri" w:cs="Calibri"/>
          <w:sz w:val="22"/>
          <w:szCs w:val="22"/>
        </w:rPr>
        <w:t>s novými zmluvnými vzťahmi uzavretými so sesterskými spoločnosťami  za rezervovanú kapacitu terminálu na stláčanie, čistenie a uskladnenie NaOH a za nájom nebytových priestorov z dôvodu prechodu zamestnancov zo správy majetku, výskumu a vývoja a IT do ECHT.</w:t>
      </w:r>
    </w:p>
    <w:p w14:paraId="2C33D4BF" w14:textId="3C9BD129" w:rsidR="00084E57" w:rsidRPr="00A84544" w:rsidRDefault="00084E57" w:rsidP="002A67E7">
      <w:pPr>
        <w:pStyle w:val="ODSAD"/>
        <w:tabs>
          <w:tab w:val="clear" w:pos="567"/>
          <w:tab w:val="left" w:pos="1134"/>
        </w:tabs>
        <w:spacing w:after="0"/>
        <w:ind w:left="993" w:firstLine="0"/>
        <w:rPr>
          <w:rFonts w:ascii="Calibri" w:hAnsi="Calibri" w:cs="Calibri"/>
          <w:sz w:val="22"/>
          <w:szCs w:val="22"/>
        </w:rPr>
      </w:pPr>
    </w:p>
    <w:p w14:paraId="7FF33E0B" w14:textId="25595671" w:rsidR="00F52A9A" w:rsidRPr="006D3375" w:rsidRDefault="00A84544" w:rsidP="00A84544">
      <w:pPr>
        <w:spacing w:after="0" w:line="240" w:lineRule="auto"/>
        <w:ind w:left="282" w:firstLine="708"/>
        <w:rPr>
          <w:rFonts w:eastAsia="Calibri"/>
          <w:b/>
          <w:u w:val="single"/>
          <w:lang w:eastAsia="sk-SK"/>
        </w:rPr>
      </w:pPr>
      <w:r w:rsidRPr="006D3375">
        <w:rPr>
          <w:b/>
          <w:u w:val="single"/>
        </w:rPr>
        <w:t>Odpisy a opravné položky</w:t>
      </w:r>
    </w:p>
    <w:p w14:paraId="29CF8EEE" w14:textId="6E95B379" w:rsidR="00F42DA7" w:rsidRDefault="00A84544" w:rsidP="002A67E7">
      <w:pPr>
        <w:pStyle w:val="ODSAD"/>
        <w:tabs>
          <w:tab w:val="clear" w:pos="567"/>
          <w:tab w:val="left" w:pos="1134"/>
        </w:tabs>
        <w:spacing w:after="0"/>
        <w:ind w:left="993" w:firstLine="0"/>
        <w:rPr>
          <w:rFonts w:ascii="Calibri" w:hAnsi="Calibri" w:cs="Calibri"/>
          <w:sz w:val="22"/>
          <w:szCs w:val="22"/>
        </w:rPr>
      </w:pPr>
      <w:bookmarkStart w:id="15" w:name="_Ref419791179"/>
      <w:r w:rsidRPr="00A84544">
        <w:rPr>
          <w:rFonts w:ascii="Calibri" w:hAnsi="Calibri" w:cs="Calibri"/>
          <w:sz w:val="22"/>
          <w:szCs w:val="22"/>
        </w:rPr>
        <w:t>Zníženie odpisov súvisí s vyradením majetku v priebehu roka 2017</w:t>
      </w:r>
      <w:r>
        <w:rPr>
          <w:rFonts w:ascii="Calibri" w:hAnsi="Calibri" w:cs="Calibri"/>
          <w:sz w:val="22"/>
          <w:szCs w:val="22"/>
        </w:rPr>
        <w:t>.</w:t>
      </w:r>
    </w:p>
    <w:p w14:paraId="5CE31DD5" w14:textId="77777777" w:rsidR="00107A9B" w:rsidRDefault="00107A9B" w:rsidP="002A67E7">
      <w:pPr>
        <w:pStyle w:val="ODSAD"/>
        <w:tabs>
          <w:tab w:val="clear" w:pos="567"/>
          <w:tab w:val="left" w:pos="1134"/>
        </w:tabs>
        <w:spacing w:after="0"/>
        <w:ind w:left="993" w:firstLine="0"/>
        <w:rPr>
          <w:rFonts w:ascii="Calibri" w:hAnsi="Calibri" w:cs="Calibri"/>
          <w:sz w:val="22"/>
          <w:szCs w:val="22"/>
        </w:rPr>
      </w:pPr>
    </w:p>
    <w:p w14:paraId="3CE4404C" w14:textId="4EC0F721" w:rsidR="00107A9B" w:rsidRPr="006D3375" w:rsidRDefault="00107A9B" w:rsidP="00107A9B">
      <w:pPr>
        <w:spacing w:after="0" w:line="240" w:lineRule="auto"/>
        <w:ind w:left="282" w:firstLine="708"/>
        <w:rPr>
          <w:b/>
          <w:u w:val="single"/>
        </w:rPr>
      </w:pPr>
      <w:r w:rsidRPr="006D3375">
        <w:rPr>
          <w:b/>
          <w:u w:val="single"/>
        </w:rPr>
        <w:t>Ostatné náklady</w:t>
      </w:r>
    </w:p>
    <w:p w14:paraId="08F2C330" w14:textId="2CDC0DA0" w:rsidR="00647542" w:rsidRDefault="00647542" w:rsidP="00647542">
      <w:pPr>
        <w:pStyle w:val="ODSAD"/>
        <w:tabs>
          <w:tab w:val="clear" w:pos="567"/>
          <w:tab w:val="left" w:pos="1134"/>
        </w:tabs>
        <w:spacing w:after="0"/>
        <w:ind w:left="993" w:firstLine="0"/>
        <w:rPr>
          <w:rFonts w:ascii="Calibri" w:hAnsi="Calibri" w:cs="Calibri"/>
          <w:sz w:val="22"/>
          <w:szCs w:val="22"/>
        </w:rPr>
      </w:pPr>
      <w:r w:rsidRPr="00647542">
        <w:rPr>
          <w:rFonts w:ascii="Calibri" w:hAnsi="Calibri" w:cs="Calibri"/>
          <w:sz w:val="22"/>
          <w:szCs w:val="22"/>
        </w:rPr>
        <w:t xml:space="preserve">Najväčší podiel na náraste </w:t>
      </w:r>
      <w:r>
        <w:rPr>
          <w:rFonts w:ascii="Calibri" w:hAnsi="Calibri" w:cs="Calibri"/>
          <w:sz w:val="22"/>
          <w:szCs w:val="22"/>
        </w:rPr>
        <w:t>ostatných nákladoch má</w:t>
      </w:r>
      <w:r w:rsidRPr="00647542">
        <w:rPr>
          <w:rFonts w:ascii="Calibri" w:hAnsi="Calibri" w:cs="Calibri"/>
          <w:sz w:val="22"/>
          <w:szCs w:val="22"/>
        </w:rPr>
        <w:t xml:space="preserve"> navýšenie poistného v rámci holdingovej zmluvy s Ko</w:t>
      </w:r>
      <w:r>
        <w:rPr>
          <w:rFonts w:ascii="Calibri" w:hAnsi="Calibri" w:cs="Calibri"/>
          <w:sz w:val="22"/>
          <w:szCs w:val="22"/>
        </w:rPr>
        <w:t>operatívou - poistenie majetku,</w:t>
      </w:r>
      <w:r w:rsidR="00D55A5A">
        <w:rPr>
          <w:rFonts w:ascii="Calibri" w:hAnsi="Calibri" w:cs="Calibri"/>
          <w:sz w:val="22"/>
          <w:szCs w:val="22"/>
        </w:rPr>
        <w:t xml:space="preserve"> zvýšenie daní z nehnuteľností v dôsledku nákupu pozemkov v Strážskom.</w:t>
      </w:r>
    </w:p>
    <w:p w14:paraId="7D2EF1F5" w14:textId="767DA173" w:rsidR="00473146" w:rsidRPr="00190E4F" w:rsidRDefault="00F52A9A" w:rsidP="008F693A">
      <w:pPr>
        <w:pStyle w:val="Nadpis1"/>
        <w:numPr>
          <w:ilvl w:val="2"/>
          <w:numId w:val="7"/>
        </w:numPr>
        <w:rPr>
          <w:sz w:val="24"/>
        </w:rPr>
      </w:pPr>
      <w:bookmarkStart w:id="16" w:name="_Toc514145321"/>
      <w:bookmarkEnd w:id="15"/>
      <w:r w:rsidRPr="00190E4F">
        <w:rPr>
          <w:sz w:val="24"/>
        </w:rPr>
        <w:t>Ľudské zdroje</w:t>
      </w:r>
      <w:bookmarkEnd w:id="16"/>
    </w:p>
    <w:p w14:paraId="0D0532C0" w14:textId="77777777" w:rsidR="007431B3" w:rsidRPr="007431B3" w:rsidRDefault="007431B3" w:rsidP="007431B3">
      <w:pPr>
        <w:pStyle w:val="Odsekzoznamu1"/>
        <w:spacing w:after="0" w:line="240" w:lineRule="auto"/>
        <w:ind w:left="1080"/>
        <w:rPr>
          <w:sz w:val="20"/>
          <w:szCs w:val="20"/>
        </w:rPr>
      </w:pPr>
    </w:p>
    <w:tbl>
      <w:tblPr>
        <w:tblStyle w:val="Mriekatabuky"/>
        <w:tblW w:w="7826" w:type="dxa"/>
        <w:tblInd w:w="993" w:type="dxa"/>
        <w:tblLayout w:type="fixed"/>
        <w:tblLook w:val="04A0" w:firstRow="1" w:lastRow="0" w:firstColumn="1" w:lastColumn="0" w:noHBand="0" w:noVBand="1"/>
      </w:tblPr>
      <w:tblGrid>
        <w:gridCol w:w="3572"/>
        <w:gridCol w:w="1418"/>
        <w:gridCol w:w="1418"/>
        <w:gridCol w:w="1418"/>
      </w:tblGrid>
      <w:tr w:rsidR="007431B3" w:rsidRPr="002C435B" w14:paraId="4287DB13" w14:textId="77777777" w:rsidTr="00084E57">
        <w:tc>
          <w:tcPr>
            <w:tcW w:w="3572" w:type="dxa"/>
          </w:tcPr>
          <w:p w14:paraId="1B78B536" w14:textId="77777777" w:rsidR="007431B3" w:rsidRPr="002C435B" w:rsidRDefault="007431B3" w:rsidP="00084E57">
            <w:pPr>
              <w:pStyle w:val="Odsekzoznamu1"/>
              <w:spacing w:after="0" w:line="240" w:lineRule="auto"/>
              <w:ind w:left="0"/>
              <w:jc w:val="both"/>
              <w:rPr>
                <w:rFonts w:eastAsia="Calibri"/>
                <w:lang w:eastAsia="sk-SK"/>
              </w:rPr>
            </w:pPr>
            <w:r w:rsidRPr="002C435B">
              <w:rPr>
                <w:b/>
              </w:rPr>
              <w:t>Ukazovateľ</w:t>
            </w:r>
          </w:p>
        </w:tc>
        <w:tc>
          <w:tcPr>
            <w:tcW w:w="1418" w:type="dxa"/>
            <w:vAlign w:val="center"/>
          </w:tcPr>
          <w:p w14:paraId="00CC9AB5" w14:textId="1D795AE5" w:rsidR="007431B3" w:rsidRPr="002C435B" w:rsidRDefault="007431B3" w:rsidP="009C2D88">
            <w:pPr>
              <w:pStyle w:val="Odsekzoznamu1"/>
              <w:spacing w:after="0" w:line="240" w:lineRule="auto"/>
              <w:ind w:left="0"/>
              <w:jc w:val="center"/>
              <w:rPr>
                <w:b/>
              </w:rPr>
            </w:pPr>
            <w:r w:rsidRPr="00190E4F">
              <w:rPr>
                <w:b/>
              </w:rPr>
              <w:t>201</w:t>
            </w:r>
            <w:r w:rsidR="00CC0F8A" w:rsidRPr="00190E4F">
              <w:rPr>
                <w:b/>
              </w:rPr>
              <w:t>7</w:t>
            </w:r>
          </w:p>
        </w:tc>
        <w:tc>
          <w:tcPr>
            <w:tcW w:w="1418" w:type="dxa"/>
            <w:vAlign w:val="center"/>
          </w:tcPr>
          <w:p w14:paraId="4457CD2C" w14:textId="5A37D091" w:rsidR="007431B3" w:rsidRPr="002C435B" w:rsidRDefault="007431B3" w:rsidP="00CC0F8A">
            <w:pPr>
              <w:pStyle w:val="Odsekzoznamu1"/>
              <w:spacing w:after="0" w:line="240" w:lineRule="auto"/>
              <w:ind w:left="0"/>
              <w:jc w:val="center"/>
              <w:rPr>
                <w:b/>
              </w:rPr>
            </w:pPr>
            <w:r w:rsidRPr="002C435B">
              <w:rPr>
                <w:b/>
              </w:rPr>
              <w:t>201</w:t>
            </w:r>
            <w:r w:rsidR="00CC0F8A">
              <w:rPr>
                <w:b/>
              </w:rPr>
              <w:t>6</w:t>
            </w:r>
          </w:p>
        </w:tc>
        <w:tc>
          <w:tcPr>
            <w:tcW w:w="1418" w:type="dxa"/>
            <w:vAlign w:val="center"/>
          </w:tcPr>
          <w:p w14:paraId="7766EC65" w14:textId="77777777" w:rsidR="007431B3" w:rsidRPr="002C435B" w:rsidRDefault="007431B3" w:rsidP="00084E57">
            <w:pPr>
              <w:pStyle w:val="Odsekzoznamu1"/>
              <w:spacing w:after="0" w:line="240" w:lineRule="auto"/>
              <w:ind w:left="0"/>
              <w:jc w:val="center"/>
              <w:rPr>
                <w:b/>
              </w:rPr>
            </w:pPr>
            <w:r w:rsidRPr="002C435B">
              <w:rPr>
                <w:b/>
              </w:rPr>
              <w:t>Zmena v %</w:t>
            </w:r>
          </w:p>
        </w:tc>
      </w:tr>
      <w:tr w:rsidR="00736DE3" w:rsidRPr="002C435B" w14:paraId="51A8FA90" w14:textId="77777777" w:rsidTr="007E36DE">
        <w:tc>
          <w:tcPr>
            <w:tcW w:w="3572" w:type="dxa"/>
          </w:tcPr>
          <w:p w14:paraId="70EC2F75" w14:textId="77777777" w:rsidR="00736DE3" w:rsidRPr="002C435B" w:rsidRDefault="00736DE3" w:rsidP="00736DE3">
            <w:pPr>
              <w:pStyle w:val="Odsekzoznamu1"/>
              <w:spacing w:after="0" w:line="240" w:lineRule="auto"/>
              <w:ind w:left="0"/>
            </w:pPr>
            <w:r w:rsidRPr="002C435B">
              <w:t>Priemerný prepočítaný stav zamestnancov (osoby)</w:t>
            </w:r>
          </w:p>
        </w:tc>
        <w:tc>
          <w:tcPr>
            <w:tcW w:w="1418" w:type="dxa"/>
            <w:vAlign w:val="center"/>
          </w:tcPr>
          <w:p w14:paraId="2FE58741" w14:textId="43EB6F8F" w:rsidR="00736DE3" w:rsidRPr="002C435B" w:rsidRDefault="00736DE3" w:rsidP="00736DE3">
            <w:pPr>
              <w:spacing w:before="60" w:after="0" w:line="240" w:lineRule="auto"/>
              <w:jc w:val="center"/>
              <w:rPr>
                <w:rFonts w:cs="Times New Roman"/>
                <w:color w:val="000000"/>
                <w:lang w:eastAsia="sk-SK"/>
              </w:rPr>
            </w:pPr>
            <w:r>
              <w:rPr>
                <w:rFonts w:cs="Times New Roman"/>
                <w:color w:val="000000"/>
                <w:lang w:eastAsia="sk-SK"/>
              </w:rPr>
              <w:t>140</w:t>
            </w:r>
          </w:p>
        </w:tc>
        <w:tc>
          <w:tcPr>
            <w:tcW w:w="1418" w:type="dxa"/>
            <w:vAlign w:val="center"/>
          </w:tcPr>
          <w:p w14:paraId="138283E2" w14:textId="16E749D7" w:rsidR="00736DE3" w:rsidRPr="002C435B" w:rsidRDefault="00736DE3" w:rsidP="00736DE3">
            <w:pPr>
              <w:spacing w:after="0" w:line="240" w:lineRule="auto"/>
              <w:jc w:val="right"/>
              <w:rPr>
                <w:rFonts w:cs="Times New Roman"/>
                <w:color w:val="000000"/>
                <w:lang w:eastAsia="sk-SK"/>
              </w:rPr>
            </w:pPr>
            <w:r>
              <w:rPr>
                <w:rFonts w:cs="Times New Roman"/>
                <w:color w:val="000000"/>
                <w:lang w:eastAsia="sk-SK"/>
              </w:rPr>
              <w:t>98</w:t>
            </w:r>
          </w:p>
        </w:tc>
        <w:tc>
          <w:tcPr>
            <w:tcW w:w="1418" w:type="dxa"/>
            <w:vAlign w:val="center"/>
          </w:tcPr>
          <w:p w14:paraId="110A4295" w14:textId="0500B0AD" w:rsidR="00736DE3" w:rsidRPr="002C435B" w:rsidRDefault="00736DE3" w:rsidP="00736DE3">
            <w:pPr>
              <w:spacing w:before="60" w:after="0" w:line="240" w:lineRule="auto"/>
              <w:jc w:val="right"/>
              <w:rPr>
                <w:rFonts w:cs="Times New Roman"/>
                <w:color w:val="000000"/>
                <w:lang w:eastAsia="sk-SK"/>
              </w:rPr>
            </w:pPr>
            <w:r>
              <w:rPr>
                <w:rFonts w:cs="Times New Roman"/>
                <w:color w:val="000000"/>
                <w:lang w:eastAsia="sk-SK"/>
              </w:rPr>
              <w:t>42,86%</w:t>
            </w:r>
          </w:p>
        </w:tc>
      </w:tr>
      <w:tr w:rsidR="00736DE3" w:rsidRPr="002C435B" w14:paraId="70D37409" w14:textId="77777777" w:rsidTr="007E36DE">
        <w:tc>
          <w:tcPr>
            <w:tcW w:w="3572" w:type="dxa"/>
          </w:tcPr>
          <w:p w14:paraId="5AA13523" w14:textId="77777777" w:rsidR="00736DE3" w:rsidRPr="002C435B" w:rsidRDefault="00736DE3" w:rsidP="00736DE3">
            <w:pPr>
              <w:pStyle w:val="Odsekzoznamu1"/>
              <w:spacing w:after="0" w:line="240" w:lineRule="auto"/>
              <w:ind w:left="0"/>
            </w:pPr>
            <w:r w:rsidRPr="002C435B">
              <w:t>z toho: ženy (osoby)</w:t>
            </w:r>
          </w:p>
        </w:tc>
        <w:tc>
          <w:tcPr>
            <w:tcW w:w="1418" w:type="dxa"/>
            <w:vAlign w:val="center"/>
          </w:tcPr>
          <w:p w14:paraId="75805CD9" w14:textId="3A23A906" w:rsidR="00736DE3" w:rsidRPr="006C5E53" w:rsidRDefault="00736DE3" w:rsidP="00736DE3">
            <w:pPr>
              <w:spacing w:before="60" w:after="0" w:line="240" w:lineRule="auto"/>
              <w:jc w:val="center"/>
              <w:rPr>
                <w:rFonts w:cs="Times New Roman"/>
                <w:color w:val="000000"/>
                <w:lang w:eastAsia="sk-SK"/>
              </w:rPr>
            </w:pPr>
            <w:r>
              <w:rPr>
                <w:rFonts w:cs="Times New Roman"/>
                <w:color w:val="000000"/>
                <w:lang w:eastAsia="sk-SK"/>
              </w:rPr>
              <w:t>57</w:t>
            </w:r>
          </w:p>
        </w:tc>
        <w:tc>
          <w:tcPr>
            <w:tcW w:w="1418" w:type="dxa"/>
            <w:vAlign w:val="center"/>
          </w:tcPr>
          <w:p w14:paraId="5876E891" w14:textId="42086D0F" w:rsidR="00736DE3" w:rsidRPr="002C435B" w:rsidRDefault="00736DE3" w:rsidP="00736DE3">
            <w:pPr>
              <w:spacing w:after="0" w:line="240" w:lineRule="auto"/>
              <w:jc w:val="right"/>
              <w:rPr>
                <w:rFonts w:cs="Times New Roman"/>
                <w:color w:val="000000"/>
                <w:lang w:eastAsia="sk-SK"/>
              </w:rPr>
            </w:pPr>
            <w:r w:rsidRPr="006C5E53">
              <w:rPr>
                <w:rFonts w:cs="Times New Roman"/>
                <w:color w:val="000000"/>
                <w:lang w:eastAsia="sk-SK"/>
              </w:rPr>
              <w:t>39</w:t>
            </w:r>
          </w:p>
        </w:tc>
        <w:tc>
          <w:tcPr>
            <w:tcW w:w="1418" w:type="dxa"/>
            <w:vAlign w:val="center"/>
          </w:tcPr>
          <w:p w14:paraId="64C4E6B4" w14:textId="0686A23C" w:rsidR="00736DE3" w:rsidRPr="002C435B" w:rsidRDefault="00736DE3" w:rsidP="00736DE3">
            <w:pPr>
              <w:spacing w:before="60" w:after="0" w:line="240" w:lineRule="auto"/>
              <w:jc w:val="right"/>
              <w:rPr>
                <w:rFonts w:cs="Times New Roman"/>
                <w:color w:val="000000"/>
                <w:lang w:eastAsia="sk-SK"/>
              </w:rPr>
            </w:pPr>
            <w:r>
              <w:rPr>
                <w:rFonts w:cs="Times New Roman"/>
                <w:color w:val="000000"/>
                <w:lang w:eastAsia="sk-SK"/>
              </w:rPr>
              <w:t>46,15%</w:t>
            </w:r>
          </w:p>
        </w:tc>
      </w:tr>
      <w:tr w:rsidR="00736DE3" w:rsidRPr="002C435B" w14:paraId="0B64A03D" w14:textId="77777777" w:rsidTr="007E36DE">
        <w:tc>
          <w:tcPr>
            <w:tcW w:w="3572" w:type="dxa"/>
          </w:tcPr>
          <w:p w14:paraId="7B1765A4" w14:textId="77777777" w:rsidR="00736DE3" w:rsidRPr="002C435B" w:rsidRDefault="00736DE3" w:rsidP="00736DE3">
            <w:pPr>
              <w:pStyle w:val="Odsekzoznamu1"/>
              <w:spacing w:after="0" w:line="240" w:lineRule="auto"/>
              <w:ind w:left="0"/>
            </w:pPr>
            <w:r w:rsidRPr="002C435B">
              <w:t xml:space="preserve">             muži (osoby)</w:t>
            </w:r>
          </w:p>
        </w:tc>
        <w:tc>
          <w:tcPr>
            <w:tcW w:w="1418" w:type="dxa"/>
            <w:vAlign w:val="center"/>
          </w:tcPr>
          <w:p w14:paraId="4BA345D4" w14:textId="0518307D" w:rsidR="00736DE3" w:rsidRPr="006C5E53" w:rsidRDefault="00736DE3" w:rsidP="00736DE3">
            <w:pPr>
              <w:spacing w:before="60" w:after="0" w:line="240" w:lineRule="auto"/>
              <w:jc w:val="center"/>
              <w:rPr>
                <w:rFonts w:cs="Times New Roman"/>
                <w:color w:val="000000"/>
                <w:lang w:eastAsia="sk-SK"/>
              </w:rPr>
            </w:pPr>
            <w:r>
              <w:rPr>
                <w:rFonts w:cs="Times New Roman"/>
                <w:color w:val="000000"/>
                <w:lang w:eastAsia="sk-SK"/>
              </w:rPr>
              <w:t>83</w:t>
            </w:r>
          </w:p>
        </w:tc>
        <w:tc>
          <w:tcPr>
            <w:tcW w:w="1418" w:type="dxa"/>
            <w:vAlign w:val="center"/>
          </w:tcPr>
          <w:p w14:paraId="51BABC97" w14:textId="584CBBE1" w:rsidR="00736DE3" w:rsidRPr="002C435B" w:rsidRDefault="00736DE3" w:rsidP="00736DE3">
            <w:pPr>
              <w:spacing w:after="0" w:line="240" w:lineRule="auto"/>
              <w:jc w:val="right"/>
              <w:rPr>
                <w:rFonts w:cs="Times New Roman"/>
                <w:color w:val="000000"/>
                <w:lang w:eastAsia="sk-SK"/>
              </w:rPr>
            </w:pPr>
            <w:r w:rsidRPr="006C5E53">
              <w:rPr>
                <w:rFonts w:cs="Times New Roman"/>
                <w:color w:val="000000"/>
                <w:lang w:eastAsia="sk-SK"/>
              </w:rPr>
              <w:t>59</w:t>
            </w:r>
          </w:p>
        </w:tc>
        <w:tc>
          <w:tcPr>
            <w:tcW w:w="1418" w:type="dxa"/>
            <w:vAlign w:val="center"/>
          </w:tcPr>
          <w:p w14:paraId="03E1E040" w14:textId="760A92EA" w:rsidR="00736DE3" w:rsidRPr="002C435B" w:rsidRDefault="00736DE3" w:rsidP="00736DE3">
            <w:pPr>
              <w:spacing w:before="60" w:after="0" w:line="240" w:lineRule="auto"/>
              <w:jc w:val="right"/>
              <w:rPr>
                <w:rFonts w:cs="Times New Roman"/>
                <w:color w:val="000000"/>
                <w:lang w:eastAsia="sk-SK"/>
              </w:rPr>
            </w:pPr>
            <w:r>
              <w:rPr>
                <w:rFonts w:cs="Times New Roman"/>
                <w:color w:val="000000"/>
                <w:lang w:eastAsia="sk-SK"/>
              </w:rPr>
              <w:t>40,68%</w:t>
            </w:r>
          </w:p>
        </w:tc>
      </w:tr>
      <w:tr w:rsidR="00736DE3" w:rsidRPr="002C435B" w14:paraId="036E044D" w14:textId="77777777" w:rsidTr="007E36DE">
        <w:tc>
          <w:tcPr>
            <w:tcW w:w="3572" w:type="dxa"/>
          </w:tcPr>
          <w:p w14:paraId="2E640559" w14:textId="77777777" w:rsidR="00736DE3" w:rsidRPr="002C435B" w:rsidRDefault="00736DE3" w:rsidP="00736DE3">
            <w:pPr>
              <w:pStyle w:val="Odsekzoznamu1"/>
              <w:spacing w:after="0" w:line="240" w:lineRule="auto"/>
              <w:ind w:left="0"/>
            </w:pPr>
            <w:r w:rsidRPr="002C435B">
              <w:t>z toho: vedúci zamestnanci (osoby)</w:t>
            </w:r>
          </w:p>
        </w:tc>
        <w:tc>
          <w:tcPr>
            <w:tcW w:w="1418" w:type="dxa"/>
            <w:vAlign w:val="center"/>
          </w:tcPr>
          <w:p w14:paraId="4E2E0238" w14:textId="0C08CEB4" w:rsidR="00736DE3" w:rsidRPr="002C435B" w:rsidRDefault="00736DE3" w:rsidP="00736DE3">
            <w:pPr>
              <w:spacing w:before="60" w:after="0" w:line="240" w:lineRule="auto"/>
              <w:jc w:val="center"/>
              <w:rPr>
                <w:rFonts w:cs="Times New Roman"/>
                <w:color w:val="000000"/>
                <w:lang w:eastAsia="sk-SK"/>
              </w:rPr>
            </w:pPr>
            <w:r>
              <w:rPr>
                <w:rFonts w:cs="Times New Roman"/>
                <w:color w:val="000000"/>
                <w:lang w:eastAsia="sk-SK"/>
              </w:rPr>
              <w:t>23</w:t>
            </w:r>
          </w:p>
        </w:tc>
        <w:tc>
          <w:tcPr>
            <w:tcW w:w="1418" w:type="dxa"/>
            <w:vAlign w:val="center"/>
          </w:tcPr>
          <w:p w14:paraId="561804D8" w14:textId="12D08201" w:rsidR="00736DE3" w:rsidRPr="002C435B" w:rsidRDefault="00736DE3" w:rsidP="00736DE3">
            <w:pPr>
              <w:spacing w:after="0" w:line="240" w:lineRule="auto"/>
              <w:jc w:val="right"/>
              <w:rPr>
                <w:rFonts w:cs="Times New Roman"/>
                <w:color w:val="000000"/>
                <w:lang w:eastAsia="sk-SK"/>
              </w:rPr>
            </w:pPr>
            <w:r>
              <w:rPr>
                <w:rFonts w:cs="Times New Roman"/>
                <w:color w:val="000000"/>
                <w:lang w:eastAsia="sk-SK"/>
              </w:rPr>
              <w:t>17</w:t>
            </w:r>
          </w:p>
        </w:tc>
        <w:tc>
          <w:tcPr>
            <w:tcW w:w="1418" w:type="dxa"/>
            <w:vAlign w:val="center"/>
          </w:tcPr>
          <w:p w14:paraId="727EBEE3" w14:textId="0EB300EA" w:rsidR="00736DE3" w:rsidRPr="002C435B" w:rsidRDefault="00736DE3" w:rsidP="00736DE3">
            <w:pPr>
              <w:spacing w:before="60" w:after="0" w:line="240" w:lineRule="auto"/>
              <w:jc w:val="right"/>
              <w:rPr>
                <w:rFonts w:cs="Times New Roman"/>
                <w:color w:val="000000"/>
                <w:lang w:eastAsia="sk-SK"/>
              </w:rPr>
            </w:pPr>
            <w:r>
              <w:rPr>
                <w:rFonts w:cs="Times New Roman"/>
                <w:color w:val="000000"/>
                <w:lang w:eastAsia="sk-SK"/>
              </w:rPr>
              <w:t>35,29%</w:t>
            </w:r>
          </w:p>
        </w:tc>
      </w:tr>
      <w:tr w:rsidR="00736DE3" w:rsidRPr="002C435B" w14:paraId="089BC0F4" w14:textId="77777777" w:rsidTr="007E36DE">
        <w:tc>
          <w:tcPr>
            <w:tcW w:w="3572" w:type="dxa"/>
          </w:tcPr>
          <w:p w14:paraId="2EA7BEF0" w14:textId="77777777" w:rsidR="00736DE3" w:rsidRPr="002C435B" w:rsidRDefault="00736DE3" w:rsidP="00736DE3">
            <w:pPr>
              <w:pStyle w:val="Odsekzoznamu1"/>
              <w:spacing w:after="0" w:line="240" w:lineRule="auto"/>
              <w:ind w:left="0"/>
            </w:pPr>
            <w:r w:rsidRPr="002C435B">
              <w:t xml:space="preserve">             THP (osoby)</w:t>
            </w:r>
          </w:p>
        </w:tc>
        <w:tc>
          <w:tcPr>
            <w:tcW w:w="1418" w:type="dxa"/>
            <w:vAlign w:val="center"/>
          </w:tcPr>
          <w:p w14:paraId="7454C32B" w14:textId="48EE9812" w:rsidR="00736DE3" w:rsidRPr="002C435B" w:rsidRDefault="00736DE3" w:rsidP="00736DE3">
            <w:pPr>
              <w:spacing w:before="60" w:after="0" w:line="240" w:lineRule="auto"/>
              <w:jc w:val="center"/>
              <w:rPr>
                <w:rFonts w:cs="Times New Roman"/>
                <w:color w:val="000000"/>
                <w:lang w:eastAsia="sk-SK"/>
              </w:rPr>
            </w:pPr>
            <w:r>
              <w:rPr>
                <w:rFonts w:cs="Times New Roman"/>
                <w:color w:val="000000"/>
                <w:lang w:eastAsia="sk-SK"/>
              </w:rPr>
              <w:t>117</w:t>
            </w:r>
          </w:p>
        </w:tc>
        <w:tc>
          <w:tcPr>
            <w:tcW w:w="1418" w:type="dxa"/>
            <w:vAlign w:val="center"/>
          </w:tcPr>
          <w:p w14:paraId="72D03B7C" w14:textId="64181CFA" w:rsidR="00736DE3" w:rsidRPr="002C435B" w:rsidRDefault="00736DE3" w:rsidP="00736DE3">
            <w:pPr>
              <w:spacing w:after="0" w:line="240" w:lineRule="auto"/>
              <w:jc w:val="right"/>
              <w:rPr>
                <w:rFonts w:cs="Times New Roman"/>
                <w:color w:val="000000"/>
                <w:lang w:eastAsia="sk-SK"/>
              </w:rPr>
            </w:pPr>
            <w:r>
              <w:rPr>
                <w:rFonts w:cs="Times New Roman"/>
                <w:color w:val="000000"/>
                <w:lang w:eastAsia="sk-SK"/>
              </w:rPr>
              <w:t>81</w:t>
            </w:r>
          </w:p>
        </w:tc>
        <w:tc>
          <w:tcPr>
            <w:tcW w:w="1418" w:type="dxa"/>
            <w:vAlign w:val="center"/>
          </w:tcPr>
          <w:p w14:paraId="3986EF6B" w14:textId="0436C5B0" w:rsidR="00736DE3" w:rsidRPr="002C435B" w:rsidRDefault="00736DE3" w:rsidP="00736DE3">
            <w:pPr>
              <w:spacing w:before="60" w:after="0" w:line="240" w:lineRule="auto"/>
              <w:jc w:val="right"/>
              <w:rPr>
                <w:rFonts w:cs="Times New Roman"/>
                <w:color w:val="000000"/>
                <w:lang w:eastAsia="sk-SK"/>
              </w:rPr>
            </w:pPr>
            <w:r>
              <w:rPr>
                <w:rFonts w:cs="Times New Roman"/>
                <w:color w:val="000000"/>
                <w:lang w:eastAsia="sk-SK"/>
              </w:rPr>
              <w:t>44,44%</w:t>
            </w:r>
          </w:p>
        </w:tc>
      </w:tr>
    </w:tbl>
    <w:p w14:paraId="5A460564" w14:textId="77777777" w:rsidR="007431B3" w:rsidRPr="007E36DE" w:rsidRDefault="007431B3" w:rsidP="007E36DE">
      <w:pPr>
        <w:pStyle w:val="Odsekzoznamu1"/>
        <w:spacing w:after="0" w:line="240" w:lineRule="auto"/>
        <w:ind w:left="993"/>
        <w:jc w:val="both"/>
      </w:pPr>
    </w:p>
    <w:p w14:paraId="2A3B3F38" w14:textId="111A231B" w:rsidR="00736DE3" w:rsidRPr="003943B3" w:rsidRDefault="00736DE3" w:rsidP="00736DE3">
      <w:pPr>
        <w:spacing w:after="0" w:line="240" w:lineRule="auto"/>
        <w:ind w:left="993"/>
        <w:jc w:val="both"/>
      </w:pPr>
      <w:r w:rsidRPr="003943B3">
        <w:t>Priemerný počet zamestnancov sa v roku 201</w:t>
      </w:r>
      <w:r>
        <w:t>7</w:t>
      </w:r>
      <w:r w:rsidRPr="003943B3">
        <w:t xml:space="preserve"> </w:t>
      </w:r>
      <w:r w:rsidRPr="00190E4F">
        <w:t>zvýšil o 42,8</w:t>
      </w:r>
      <w:r w:rsidR="00190E4F" w:rsidRPr="00190E4F">
        <w:t>6</w:t>
      </w:r>
      <w:r w:rsidRPr="00190E4F">
        <w:t xml:space="preserve"> % </w:t>
      </w:r>
      <w:r w:rsidRPr="003943B3">
        <w:t xml:space="preserve">oproti predchádzajúcemu účtovnému obdobiu a to v súvislosti s personálnym dobudovaním organizačných jednotiek. </w:t>
      </w:r>
    </w:p>
    <w:p w14:paraId="3DF51E30" w14:textId="77777777" w:rsidR="00736DE3" w:rsidRPr="00CC0F8A" w:rsidRDefault="00736DE3" w:rsidP="00736DE3">
      <w:pPr>
        <w:pStyle w:val="Odsekzoznamu1"/>
        <w:spacing w:after="0" w:line="240" w:lineRule="auto"/>
        <w:ind w:left="993"/>
        <w:jc w:val="both"/>
        <w:rPr>
          <w:highlight w:val="yellow"/>
        </w:rPr>
      </w:pPr>
    </w:p>
    <w:p w14:paraId="7F93DEEA" w14:textId="77777777" w:rsidR="00736DE3" w:rsidRPr="00A36743" w:rsidRDefault="00736DE3" w:rsidP="00736DE3">
      <w:pPr>
        <w:pStyle w:val="Odsekzoznamu1"/>
        <w:spacing w:after="0" w:line="240" w:lineRule="auto"/>
        <w:ind w:left="993"/>
        <w:jc w:val="both"/>
      </w:pPr>
      <w:r w:rsidRPr="00A36743">
        <w:t>V oblasti riadenia a rozvoja ľudských zdrojov boli ciele v roku 2017 zamerané predovšetkým na:</w:t>
      </w:r>
    </w:p>
    <w:p w14:paraId="66DBC226" w14:textId="77777777" w:rsidR="00736DE3" w:rsidRPr="00A36743" w:rsidRDefault="00736DE3" w:rsidP="00736DE3">
      <w:pPr>
        <w:pStyle w:val="Odsekzoznamu1"/>
        <w:spacing w:after="0" w:line="240" w:lineRule="auto"/>
        <w:ind w:left="993"/>
        <w:jc w:val="both"/>
      </w:pPr>
    </w:p>
    <w:p w14:paraId="17B4117C" w14:textId="77777777" w:rsidR="00736DE3" w:rsidRPr="00A36743" w:rsidRDefault="00736DE3" w:rsidP="00736DE3">
      <w:pPr>
        <w:pStyle w:val="Odsekzoznamu"/>
        <w:numPr>
          <w:ilvl w:val="0"/>
          <w:numId w:val="16"/>
        </w:numPr>
        <w:autoSpaceDE w:val="0"/>
        <w:autoSpaceDN w:val="0"/>
        <w:adjustRightInd w:val="0"/>
        <w:spacing w:after="0" w:line="240" w:lineRule="auto"/>
        <w:jc w:val="both"/>
      </w:pPr>
      <w:r w:rsidRPr="00A36743">
        <w:t>výber zamestnancov spĺňajúcich kvalitatívne predpoklady na výkon funkcií s cieľom personálne dobudovať organizačné jednotky v súlade s úpravami v Organizačnej štruktúre</w:t>
      </w:r>
    </w:p>
    <w:p w14:paraId="720F882D" w14:textId="77777777" w:rsidR="00736DE3" w:rsidRPr="00ED2214" w:rsidRDefault="00736DE3" w:rsidP="00736DE3">
      <w:pPr>
        <w:pStyle w:val="Odsekzoznamu"/>
        <w:numPr>
          <w:ilvl w:val="0"/>
          <w:numId w:val="16"/>
        </w:numPr>
        <w:autoSpaceDE w:val="0"/>
        <w:autoSpaceDN w:val="0"/>
        <w:adjustRightInd w:val="0"/>
        <w:spacing w:before="60" w:after="0" w:line="240" w:lineRule="auto"/>
        <w:ind w:hanging="357"/>
        <w:contextualSpacing w:val="0"/>
        <w:jc w:val="both"/>
      </w:pPr>
      <w:r w:rsidRPr="00A36743">
        <w:t xml:space="preserve">adaptačný proces, ktorého cieľom je pomôcť novo-nastúpenému zamestnancovi </w:t>
      </w:r>
      <w:r w:rsidRPr="00ED2214">
        <w:t>v čo najkratšom čase podávať plnohodnotný výkon</w:t>
      </w:r>
    </w:p>
    <w:p w14:paraId="58E82726" w14:textId="77777777" w:rsidR="00736DE3" w:rsidRPr="00ED2214" w:rsidRDefault="00736DE3" w:rsidP="00736DE3">
      <w:pPr>
        <w:pStyle w:val="Odsekzoznamu"/>
        <w:numPr>
          <w:ilvl w:val="0"/>
          <w:numId w:val="16"/>
        </w:numPr>
        <w:autoSpaceDE w:val="0"/>
        <w:autoSpaceDN w:val="0"/>
        <w:adjustRightInd w:val="0"/>
        <w:spacing w:before="60" w:after="0" w:line="240" w:lineRule="auto"/>
        <w:ind w:hanging="357"/>
        <w:contextualSpacing w:val="0"/>
        <w:jc w:val="both"/>
      </w:pPr>
      <w:r w:rsidRPr="00ED2214">
        <w:t>vzdelávanie riadiacich zamestnancov na všetkých stupňoch riadenia zvyšujúce ich morálnu, profesijnú a riadiacu úroveň a vedúce k proaktivite prostredníctvom:</w:t>
      </w:r>
    </w:p>
    <w:p w14:paraId="5D32BFEF" w14:textId="77777777" w:rsidR="00736DE3" w:rsidRPr="00ED2214" w:rsidRDefault="00736DE3" w:rsidP="00736DE3">
      <w:pPr>
        <w:pStyle w:val="Odsekzoznamu"/>
        <w:numPr>
          <w:ilvl w:val="1"/>
          <w:numId w:val="16"/>
        </w:numPr>
        <w:autoSpaceDE w:val="0"/>
        <w:autoSpaceDN w:val="0"/>
        <w:adjustRightInd w:val="0"/>
        <w:spacing w:before="60" w:after="0" w:line="240" w:lineRule="auto"/>
        <w:ind w:left="1843" w:hanging="425"/>
        <w:contextualSpacing w:val="0"/>
        <w:jc w:val="both"/>
      </w:pPr>
      <w:r w:rsidRPr="00ED2214">
        <w:t>základných aj nadstavbových modulov kurzového komplexu Proaktívny manažér</w:t>
      </w:r>
    </w:p>
    <w:p w14:paraId="7EFA1993" w14:textId="77777777" w:rsidR="00736DE3" w:rsidRPr="00ED2214" w:rsidRDefault="00736DE3" w:rsidP="00736DE3">
      <w:pPr>
        <w:pStyle w:val="Odsekzoznamu"/>
        <w:numPr>
          <w:ilvl w:val="1"/>
          <w:numId w:val="16"/>
        </w:numPr>
        <w:autoSpaceDE w:val="0"/>
        <w:autoSpaceDN w:val="0"/>
        <w:adjustRightInd w:val="0"/>
        <w:spacing w:before="60" w:after="0" w:line="240" w:lineRule="auto"/>
        <w:ind w:left="1843" w:hanging="425"/>
        <w:contextualSpacing w:val="0"/>
        <w:jc w:val="both"/>
      </w:pPr>
      <w:r w:rsidRPr="00ED2214">
        <w:t>pokračovania vo vzdelávacom projekte Koučing</w:t>
      </w:r>
    </w:p>
    <w:p w14:paraId="5BB40FDE" w14:textId="77777777" w:rsidR="00736DE3" w:rsidRPr="00ED2214" w:rsidRDefault="00736DE3" w:rsidP="00736DE3">
      <w:pPr>
        <w:pStyle w:val="Odsekzoznamu"/>
        <w:numPr>
          <w:ilvl w:val="1"/>
          <w:numId w:val="16"/>
        </w:numPr>
        <w:autoSpaceDE w:val="0"/>
        <w:autoSpaceDN w:val="0"/>
        <w:adjustRightInd w:val="0"/>
        <w:spacing w:before="60" w:after="0" w:line="240" w:lineRule="auto"/>
        <w:ind w:left="1843" w:hanging="425"/>
        <w:contextualSpacing w:val="0"/>
        <w:jc w:val="both"/>
      </w:pPr>
      <w:r w:rsidRPr="00ED2214">
        <w:t>prehĺbenia vedomostí z oblasti Personálneho manažmentu a vybraných problémov z praxe</w:t>
      </w:r>
    </w:p>
    <w:p w14:paraId="25D18E0B" w14:textId="77777777" w:rsidR="00736DE3" w:rsidRPr="00ED2214" w:rsidRDefault="00736DE3" w:rsidP="00736DE3">
      <w:pPr>
        <w:pStyle w:val="Odsekzoznamu"/>
        <w:numPr>
          <w:ilvl w:val="1"/>
          <w:numId w:val="16"/>
        </w:numPr>
        <w:autoSpaceDE w:val="0"/>
        <w:autoSpaceDN w:val="0"/>
        <w:adjustRightInd w:val="0"/>
        <w:spacing w:before="60" w:after="0" w:line="240" w:lineRule="auto"/>
        <w:ind w:left="1843" w:hanging="425"/>
        <w:contextualSpacing w:val="0"/>
        <w:jc w:val="both"/>
      </w:pPr>
      <w:r w:rsidRPr="00ED2214">
        <w:t>zavedenia nového kurzového komplexu pre absolventov Proaktívneho manažéra - Aplikačný servis - zameraného na rozvoj získaných znalostí a zručností a ich aktívne uplatňovanie v praktickom vedení ľudí.</w:t>
      </w:r>
    </w:p>
    <w:p w14:paraId="73430007" w14:textId="77777777" w:rsidR="00736DE3" w:rsidRPr="00ED2214" w:rsidRDefault="00736DE3" w:rsidP="00736DE3">
      <w:pPr>
        <w:pStyle w:val="Odsekzoznamu"/>
        <w:numPr>
          <w:ilvl w:val="0"/>
          <w:numId w:val="16"/>
        </w:numPr>
        <w:autoSpaceDE w:val="0"/>
        <w:autoSpaceDN w:val="0"/>
        <w:adjustRightInd w:val="0"/>
        <w:spacing w:before="60" w:after="0" w:line="240" w:lineRule="auto"/>
        <w:contextualSpacing w:val="0"/>
        <w:jc w:val="both"/>
      </w:pPr>
      <w:r w:rsidRPr="00ED2214">
        <w:t xml:space="preserve">zefektívnenie realizácie systému odmeňovania a hodnotenia zamestnancov </w:t>
      </w:r>
      <w:r w:rsidRPr="00ED2214">
        <w:br/>
        <w:t>s cieľom udržania motivovaných a výkonných zamestnancov</w:t>
      </w:r>
    </w:p>
    <w:p w14:paraId="6C650A0C" w14:textId="77777777" w:rsidR="00736DE3" w:rsidRPr="00ED2214" w:rsidRDefault="00736DE3" w:rsidP="00736DE3">
      <w:pPr>
        <w:pStyle w:val="Odsekzoznamu1"/>
        <w:spacing w:after="0" w:line="240" w:lineRule="auto"/>
        <w:ind w:left="993"/>
        <w:jc w:val="both"/>
      </w:pPr>
    </w:p>
    <w:p w14:paraId="7B3F51C9" w14:textId="77777777" w:rsidR="00736DE3" w:rsidRDefault="00736DE3" w:rsidP="00736DE3">
      <w:pPr>
        <w:pStyle w:val="Odsekzoznamu1"/>
        <w:spacing w:after="0" w:line="240" w:lineRule="auto"/>
        <w:ind w:left="993"/>
        <w:jc w:val="both"/>
      </w:pPr>
      <w:r w:rsidRPr="00ED2214">
        <w:t>Ako stabilný zamestnávateľ vytvára spoločnosť pre zamestnancov také podmienky, aby boli motivovaní, vysoko výkonní, tímovo orientovaní a kreatívni, pre ktorých práca patrí medzi najvyššie priority.</w:t>
      </w:r>
    </w:p>
    <w:p w14:paraId="7B2AD48B" w14:textId="77777777" w:rsidR="0073366F" w:rsidRDefault="0073366F" w:rsidP="00736DE3">
      <w:pPr>
        <w:pStyle w:val="Odsekzoznamu1"/>
        <w:spacing w:after="0" w:line="240" w:lineRule="auto"/>
        <w:ind w:left="993"/>
        <w:jc w:val="both"/>
      </w:pPr>
    </w:p>
    <w:p w14:paraId="3528C7C4" w14:textId="77777777" w:rsidR="0073366F" w:rsidRDefault="0073366F" w:rsidP="00736DE3">
      <w:pPr>
        <w:pStyle w:val="Odsekzoznamu1"/>
        <w:spacing w:after="0" w:line="240" w:lineRule="auto"/>
        <w:ind w:left="993"/>
        <w:jc w:val="both"/>
      </w:pPr>
    </w:p>
    <w:p w14:paraId="78847A00" w14:textId="77777777" w:rsidR="0073366F" w:rsidRPr="00214306" w:rsidRDefault="0073366F" w:rsidP="00736DE3">
      <w:pPr>
        <w:pStyle w:val="Odsekzoznamu1"/>
        <w:spacing w:after="0" w:line="240" w:lineRule="auto"/>
        <w:ind w:left="993"/>
        <w:jc w:val="both"/>
      </w:pPr>
    </w:p>
    <w:p w14:paraId="07CC2A09" w14:textId="77777777" w:rsidR="00BF3FA0" w:rsidRPr="002A67E7" w:rsidRDefault="00BF3FA0" w:rsidP="002A67E7">
      <w:pPr>
        <w:pStyle w:val="ODSAD"/>
        <w:tabs>
          <w:tab w:val="clear" w:pos="567"/>
          <w:tab w:val="left" w:pos="1134"/>
        </w:tabs>
        <w:spacing w:after="0"/>
        <w:ind w:left="993" w:firstLine="0"/>
      </w:pPr>
    </w:p>
    <w:p w14:paraId="3E754694" w14:textId="77777777" w:rsidR="008B3545" w:rsidRPr="00D543F9" w:rsidRDefault="00D543F9" w:rsidP="00BF786C">
      <w:pPr>
        <w:pStyle w:val="Nadpis1"/>
        <w:numPr>
          <w:ilvl w:val="2"/>
          <w:numId w:val="7"/>
        </w:numPr>
        <w:ind w:hanging="798"/>
        <w:rPr>
          <w:sz w:val="24"/>
        </w:rPr>
      </w:pPr>
      <w:bookmarkStart w:id="17" w:name="_Toc514145322"/>
      <w:r>
        <w:rPr>
          <w:sz w:val="24"/>
        </w:rPr>
        <w:t xml:space="preserve">Finančná výkonnosť, </w:t>
      </w:r>
      <w:r w:rsidR="00473146" w:rsidRPr="00CC1D36">
        <w:rPr>
          <w:sz w:val="24"/>
        </w:rPr>
        <w:t>finančné a prevádzkové výsledky</w:t>
      </w:r>
      <w:bookmarkEnd w:id="17"/>
    </w:p>
    <w:p w14:paraId="34217528" w14:textId="621010D2" w:rsidR="00176806" w:rsidRPr="002A68BA" w:rsidRDefault="0087084C" w:rsidP="005500C1">
      <w:pPr>
        <w:pStyle w:val="Odsekzoznamu1"/>
        <w:spacing w:after="0" w:line="240" w:lineRule="auto"/>
        <w:ind w:left="993"/>
        <w:jc w:val="both"/>
      </w:pPr>
      <w:r w:rsidRPr="002A68BA">
        <w:t>V roku 201</w:t>
      </w:r>
      <w:r w:rsidR="00D55A5A" w:rsidRPr="002A68BA">
        <w:t>7</w:t>
      </w:r>
      <w:r w:rsidR="00176806" w:rsidRPr="002A68BA">
        <w:t xml:space="preserve"> spoločnosť hospodárila s výsledkom hospodárenia </w:t>
      </w:r>
      <w:r w:rsidR="00D42E23" w:rsidRPr="002A68BA">
        <w:t>po zdanení</w:t>
      </w:r>
      <w:r w:rsidR="001738C6" w:rsidRPr="002A68BA">
        <w:t xml:space="preserve"> -</w:t>
      </w:r>
      <w:r w:rsidR="00176806" w:rsidRPr="002A68BA">
        <w:t xml:space="preserve"> </w:t>
      </w:r>
      <w:r w:rsidR="00AB3912" w:rsidRPr="002A68BA">
        <w:t xml:space="preserve">ziskom </w:t>
      </w:r>
      <w:r w:rsidRPr="002A68BA">
        <w:t xml:space="preserve"> na </w:t>
      </w:r>
      <w:r w:rsidR="00176806" w:rsidRPr="002A68BA">
        <w:t xml:space="preserve">úrovni </w:t>
      </w:r>
      <w:r w:rsidR="00D55A5A" w:rsidRPr="002A68BA">
        <w:t>1 155 756</w:t>
      </w:r>
      <w:r w:rsidR="003673CF" w:rsidRPr="002A68BA">
        <w:t xml:space="preserve"> </w:t>
      </w:r>
      <w:r w:rsidRPr="002A68BA">
        <w:t>EUR (201</w:t>
      </w:r>
      <w:r w:rsidR="00D55A5A" w:rsidRPr="002A68BA">
        <w:t>6</w:t>
      </w:r>
      <w:r w:rsidRPr="002A68BA">
        <w:t xml:space="preserve">: </w:t>
      </w:r>
      <w:r w:rsidR="00D55A5A" w:rsidRPr="002A68BA">
        <w:t>321 778</w:t>
      </w:r>
      <w:r w:rsidR="005C464A" w:rsidRPr="002A68BA">
        <w:t xml:space="preserve"> </w:t>
      </w:r>
      <w:r w:rsidR="005500C1" w:rsidRPr="002A68BA">
        <w:t>EUR</w:t>
      </w:r>
      <w:r w:rsidRPr="002A68BA">
        <w:t>)</w:t>
      </w:r>
      <w:r w:rsidR="00C9420C" w:rsidRPr="002A68BA">
        <w:t>.</w:t>
      </w:r>
      <w:r w:rsidR="00084E57" w:rsidRPr="002A68BA">
        <w:t xml:space="preserve"> Bližšie informácie o významných vplyvoch na tvorbu </w:t>
      </w:r>
      <w:r w:rsidR="002A68BA" w:rsidRPr="002A68BA">
        <w:t>prevádzkového zisku vo výške 1 206</w:t>
      </w:r>
      <w:r w:rsidR="00084E57" w:rsidRPr="002A68BA">
        <w:t xml:space="preserve"> tis. EUR sú uvedené v častiach 2.3.1 Výnosy a 2.3.2 Náklady.</w:t>
      </w:r>
    </w:p>
    <w:p w14:paraId="709A2BDF" w14:textId="77777777" w:rsidR="00084E57" w:rsidRPr="00CC0F8A" w:rsidRDefault="00084E57" w:rsidP="005500C1">
      <w:pPr>
        <w:pStyle w:val="Odsekzoznamu1"/>
        <w:spacing w:after="0" w:line="240" w:lineRule="auto"/>
        <w:ind w:left="993"/>
        <w:jc w:val="both"/>
        <w:rPr>
          <w:highlight w:val="cyan"/>
        </w:rPr>
      </w:pPr>
    </w:p>
    <w:p w14:paraId="30BEA993" w14:textId="66487DBA" w:rsidR="00084E57" w:rsidRPr="003C36CD" w:rsidRDefault="00084E57" w:rsidP="005500C1">
      <w:pPr>
        <w:pStyle w:val="Odsekzoznamu1"/>
        <w:spacing w:after="0" w:line="240" w:lineRule="auto"/>
        <w:ind w:left="993"/>
        <w:jc w:val="both"/>
      </w:pPr>
      <w:r w:rsidRPr="003C36CD">
        <w:t>Na celkové hospodárenie spoločnosti mal vplyv</w:t>
      </w:r>
      <w:r w:rsidR="00960C41" w:rsidRPr="003C36CD">
        <w:t xml:space="preserve"> aj vývoj výsledku hospodá</w:t>
      </w:r>
      <w:r w:rsidR="002A68BA" w:rsidRPr="003C36CD">
        <w:t>renia z finančnej činnosti -259</w:t>
      </w:r>
      <w:r w:rsidR="00960C41" w:rsidRPr="003C36CD">
        <w:t xml:space="preserve"> tis. EUR v roku 201</w:t>
      </w:r>
      <w:r w:rsidR="002A68BA" w:rsidRPr="003C36CD">
        <w:t>7</w:t>
      </w:r>
      <w:r w:rsidR="00960C41" w:rsidRPr="003C36CD">
        <w:t xml:space="preserve">, </w:t>
      </w:r>
      <w:r w:rsidR="002A68BA" w:rsidRPr="003C36CD">
        <w:t>-</w:t>
      </w:r>
      <w:r w:rsidR="00960C41" w:rsidRPr="003C36CD">
        <w:t> </w:t>
      </w:r>
      <w:r w:rsidR="002A68BA" w:rsidRPr="003C36CD">
        <w:t>524</w:t>
      </w:r>
      <w:r w:rsidR="00960C41" w:rsidRPr="003C36CD">
        <w:t xml:space="preserve"> tis. EUR v roku 201</w:t>
      </w:r>
      <w:r w:rsidR="002A68BA" w:rsidRPr="003C36CD">
        <w:t>6</w:t>
      </w:r>
      <w:r w:rsidR="00960C41" w:rsidRPr="003C36CD">
        <w:t xml:space="preserve">. </w:t>
      </w:r>
      <w:r w:rsidR="003C36CD" w:rsidRPr="003C36CD">
        <w:t>Vyššia strata</w:t>
      </w:r>
      <w:r w:rsidR="00960C41" w:rsidRPr="003C36CD">
        <w:t xml:space="preserve"> z finančnej činnosti v roku 201</w:t>
      </w:r>
      <w:r w:rsidR="003C36CD" w:rsidRPr="003C36CD">
        <w:t>6 bola ovplyvnená aj kurzovými stratami vzniknutými z prepočtu poskytnutého úveru materskej spoločnosti Energochemica SE (1,8 mld. CZK) za 1-3/2016</w:t>
      </w:r>
      <w:r w:rsidR="00093306">
        <w:t>,</w:t>
      </w:r>
      <w:r w:rsidR="003C36CD" w:rsidRPr="003C36CD">
        <w:t xml:space="preserve"> predčasné splatenie v marci 2016, v priebehu roka 2017 </w:t>
      </w:r>
      <w:r w:rsidR="00093306">
        <w:t xml:space="preserve">nebola realizovaná </w:t>
      </w:r>
      <w:bookmarkStart w:id="18" w:name="_GoBack"/>
      <w:bookmarkEnd w:id="18"/>
      <w:r w:rsidR="003C36CD" w:rsidRPr="003C36CD">
        <w:t>žiadna transakcia podobného charakteru</w:t>
      </w:r>
      <w:r w:rsidR="00960C41" w:rsidRPr="003C36CD">
        <w:t xml:space="preserve">. </w:t>
      </w:r>
      <w:r w:rsidRPr="003C36CD">
        <w:t xml:space="preserve"> </w:t>
      </w:r>
    </w:p>
    <w:p w14:paraId="4B40681D" w14:textId="77777777" w:rsidR="00960C41" w:rsidRPr="00CC0F8A" w:rsidRDefault="00960C41" w:rsidP="005500C1">
      <w:pPr>
        <w:pStyle w:val="Odsekzoznamu1"/>
        <w:spacing w:after="0" w:line="240" w:lineRule="auto"/>
        <w:ind w:left="993"/>
        <w:jc w:val="both"/>
        <w:rPr>
          <w:highlight w:val="cyan"/>
        </w:rPr>
      </w:pPr>
    </w:p>
    <w:p w14:paraId="00E705B1" w14:textId="340EAC5F" w:rsidR="00960C41" w:rsidRDefault="00960C41" w:rsidP="005500C1">
      <w:pPr>
        <w:pStyle w:val="Odsekzoznamu1"/>
        <w:spacing w:after="0" w:line="240" w:lineRule="auto"/>
        <w:ind w:left="993"/>
        <w:jc w:val="both"/>
      </w:pPr>
      <w:r w:rsidRPr="003C36CD">
        <w:t>V roku 201</w:t>
      </w:r>
      <w:r w:rsidR="003C36CD" w:rsidRPr="003C36CD">
        <w:t>7 nárast úrokov z prijatých vnútro</w:t>
      </w:r>
      <w:r w:rsidR="00D8226D">
        <w:t>-</w:t>
      </w:r>
      <w:r w:rsidR="003C36CD" w:rsidRPr="003C36CD">
        <w:t xml:space="preserve">skupinových úverov z dôvodu navýšenia istiny úverov v priebehu roku 2017. V roku 2016 </w:t>
      </w:r>
      <w:r w:rsidRPr="003C36CD">
        <w:t xml:space="preserve"> boli finančné náklady spoločnosti ovplyvnené aj úrokmi z emisie dlhopisov vo výške 547 tis. EUR. Spoločnosť uskutočnila spätný odkup celej emisie dlhopisov v marci a apríli 2016.</w:t>
      </w:r>
    </w:p>
    <w:p w14:paraId="4D0FA483" w14:textId="77777777" w:rsidR="00084E57" w:rsidRPr="00E728EF" w:rsidRDefault="00084E57" w:rsidP="005500C1">
      <w:pPr>
        <w:pStyle w:val="Odsekzoznamu1"/>
        <w:spacing w:after="0" w:line="240" w:lineRule="auto"/>
        <w:ind w:left="993"/>
        <w:jc w:val="both"/>
      </w:pPr>
    </w:p>
    <w:p w14:paraId="02984DC3" w14:textId="77777777" w:rsidR="00473146" w:rsidRPr="00CC1D36" w:rsidRDefault="00473146" w:rsidP="00CC1D36">
      <w:pPr>
        <w:pStyle w:val="Nadpis1"/>
        <w:numPr>
          <w:ilvl w:val="1"/>
          <w:numId w:val="7"/>
        </w:numPr>
        <w:rPr>
          <w:sz w:val="24"/>
        </w:rPr>
      </w:pPr>
      <w:bookmarkStart w:id="19" w:name="_Toc514145323"/>
      <w:r w:rsidRPr="00CC1D36">
        <w:rPr>
          <w:sz w:val="24"/>
        </w:rPr>
        <w:t>Návrh na rozdelenie zisku alebo na úhradu straty</w:t>
      </w:r>
      <w:bookmarkEnd w:id="19"/>
    </w:p>
    <w:p w14:paraId="27EBD73B" w14:textId="48AC87E5" w:rsidR="00E86FE8" w:rsidRPr="00F9545E" w:rsidRDefault="002E3B11" w:rsidP="00F9545E">
      <w:pPr>
        <w:pStyle w:val="Odsekzoznamu1"/>
        <w:spacing w:after="0" w:line="240" w:lineRule="auto"/>
        <w:ind w:left="993"/>
        <w:jc w:val="both"/>
      </w:pPr>
      <w:r w:rsidRPr="00F9545E">
        <w:t xml:space="preserve">Návrh </w:t>
      </w:r>
      <w:r w:rsidR="00241BDE">
        <w:t>predstavenstva</w:t>
      </w:r>
      <w:r w:rsidRPr="00F9545E">
        <w:t xml:space="preserve"> valnému zhromaždeniu je zaúčtovať </w:t>
      </w:r>
      <w:r w:rsidR="004B345B">
        <w:t>účtovn</w:t>
      </w:r>
      <w:r w:rsidR="009F5615">
        <w:t>ý</w:t>
      </w:r>
      <w:r w:rsidR="004B345B">
        <w:t xml:space="preserve"> </w:t>
      </w:r>
      <w:r w:rsidR="009F5615">
        <w:t>zisk</w:t>
      </w:r>
      <w:r w:rsidR="004B345B">
        <w:t xml:space="preserve"> v</w:t>
      </w:r>
      <w:r w:rsidR="0054331B">
        <w:t xml:space="preserve">o výške </w:t>
      </w:r>
      <w:r w:rsidR="00CC0F8A">
        <w:t xml:space="preserve">1 155 756 </w:t>
      </w:r>
      <w:r w:rsidR="0054331B">
        <w:t>EUR</w:t>
      </w:r>
      <w:r w:rsidR="004B345B">
        <w:t>  na </w:t>
      </w:r>
      <w:r w:rsidRPr="00F9545E">
        <w:t>účet 42</w:t>
      </w:r>
      <w:r w:rsidR="00BC777D">
        <w:t>8</w:t>
      </w:r>
      <w:r w:rsidR="00176806" w:rsidRPr="00F9545E">
        <w:t xml:space="preserve"> </w:t>
      </w:r>
      <w:r w:rsidR="009F5615">
        <w:t>–</w:t>
      </w:r>
      <w:r w:rsidRPr="00F9545E">
        <w:t xml:space="preserve"> </w:t>
      </w:r>
      <w:r w:rsidR="009F5615">
        <w:t xml:space="preserve">Nerozdelený zisk </w:t>
      </w:r>
      <w:r w:rsidRPr="00F9545E">
        <w:t>minulých</w:t>
      </w:r>
      <w:r w:rsidR="00BC777D">
        <w:t xml:space="preserve"> rokov</w:t>
      </w:r>
      <w:r w:rsidR="00F9545E" w:rsidRPr="00F9545E">
        <w:t xml:space="preserve">. </w:t>
      </w:r>
    </w:p>
    <w:p w14:paraId="1DACBE6A" w14:textId="77777777" w:rsidR="00473146" w:rsidRPr="00CC1D36" w:rsidRDefault="00473146" w:rsidP="00CC1D36">
      <w:pPr>
        <w:pStyle w:val="Nadpis1"/>
        <w:numPr>
          <w:ilvl w:val="1"/>
          <w:numId w:val="7"/>
        </w:numPr>
        <w:rPr>
          <w:sz w:val="24"/>
        </w:rPr>
      </w:pPr>
      <w:bookmarkStart w:id="20" w:name="_Toc514145324"/>
      <w:r w:rsidRPr="00CC1D36">
        <w:rPr>
          <w:sz w:val="24"/>
        </w:rPr>
        <w:t>Výskum a vývoj</w:t>
      </w:r>
      <w:bookmarkEnd w:id="20"/>
      <w:r w:rsidRPr="00CC1D36">
        <w:rPr>
          <w:sz w:val="24"/>
        </w:rPr>
        <w:t xml:space="preserve"> </w:t>
      </w:r>
    </w:p>
    <w:p w14:paraId="5380887D" w14:textId="3EE62A66" w:rsidR="002D3272" w:rsidRPr="00F9545E" w:rsidRDefault="004D22E1" w:rsidP="00F9545E">
      <w:pPr>
        <w:pStyle w:val="ODSAD"/>
        <w:tabs>
          <w:tab w:val="clear" w:pos="567"/>
          <w:tab w:val="left" w:pos="1134"/>
        </w:tabs>
        <w:spacing w:after="0"/>
        <w:ind w:left="993" w:firstLine="0"/>
        <w:rPr>
          <w:rFonts w:ascii="Calibri" w:hAnsi="Calibri" w:cs="Calibri"/>
          <w:sz w:val="22"/>
          <w:szCs w:val="22"/>
        </w:rPr>
      </w:pPr>
      <w:r w:rsidRPr="00D8226D">
        <w:rPr>
          <w:rFonts w:ascii="Calibri" w:hAnsi="Calibri" w:cs="Calibri"/>
          <w:sz w:val="22"/>
          <w:szCs w:val="22"/>
        </w:rPr>
        <w:t>Od</w:t>
      </w:r>
      <w:r w:rsidR="002D3272" w:rsidRPr="00D8226D">
        <w:rPr>
          <w:rFonts w:ascii="Calibri" w:hAnsi="Calibri" w:cs="Calibri"/>
          <w:sz w:val="22"/>
          <w:szCs w:val="22"/>
        </w:rPr>
        <w:t xml:space="preserve"> roku 2017 spoločnosť v rámci líniovej organizácie aktivít holdingu </w:t>
      </w:r>
      <w:r w:rsidRPr="00D8226D">
        <w:rPr>
          <w:rFonts w:ascii="Calibri" w:hAnsi="Calibri" w:cs="Calibri"/>
          <w:sz w:val="22"/>
          <w:szCs w:val="22"/>
        </w:rPr>
        <w:t xml:space="preserve">a zvýšenia hospodárnosti výskumných aktivít v rámci skupiny, </w:t>
      </w:r>
      <w:r w:rsidR="002D3272" w:rsidRPr="00D8226D">
        <w:rPr>
          <w:rFonts w:ascii="Calibri" w:hAnsi="Calibri" w:cs="Calibri"/>
          <w:sz w:val="22"/>
          <w:szCs w:val="22"/>
        </w:rPr>
        <w:t xml:space="preserve">prijala do pracovného pomeru zamestnancov oddelení výskumu a vývoja svojich sesterských spoločností. </w:t>
      </w:r>
      <w:r w:rsidR="00D91FB3" w:rsidRPr="00D8226D">
        <w:rPr>
          <w:rFonts w:ascii="Calibri" w:hAnsi="Calibri" w:cs="Calibri"/>
          <w:sz w:val="22"/>
          <w:szCs w:val="22"/>
        </w:rPr>
        <w:t>Spoločnosť v </w:t>
      </w:r>
      <w:r w:rsidR="007E36DE" w:rsidRPr="00D8226D">
        <w:rPr>
          <w:rFonts w:ascii="Calibri" w:hAnsi="Calibri" w:cs="Calibri"/>
          <w:sz w:val="22"/>
          <w:szCs w:val="22"/>
        </w:rPr>
        <w:t>roku 2016 nebola vlastníkom vývojových projektov.</w:t>
      </w:r>
      <w:r w:rsidR="007E36DE" w:rsidRPr="00D91FB3">
        <w:rPr>
          <w:rFonts w:ascii="Calibri" w:hAnsi="Calibri" w:cs="Calibri"/>
          <w:sz w:val="22"/>
          <w:szCs w:val="22"/>
        </w:rPr>
        <w:t xml:space="preserve"> </w:t>
      </w:r>
    </w:p>
    <w:p w14:paraId="4E1A905C" w14:textId="600A16DC" w:rsidR="00473146" w:rsidRPr="00CC1D36" w:rsidRDefault="00473146" w:rsidP="00CC1D36">
      <w:pPr>
        <w:pStyle w:val="Nadpis1"/>
        <w:numPr>
          <w:ilvl w:val="1"/>
          <w:numId w:val="7"/>
        </w:numPr>
        <w:rPr>
          <w:sz w:val="24"/>
        </w:rPr>
      </w:pPr>
      <w:bookmarkStart w:id="21" w:name="_Toc514145325"/>
      <w:r w:rsidRPr="00CC1D36">
        <w:rPr>
          <w:sz w:val="24"/>
        </w:rPr>
        <w:t>Životné prostredie</w:t>
      </w:r>
      <w:bookmarkEnd w:id="21"/>
    </w:p>
    <w:p w14:paraId="5182E57A" w14:textId="083D6080" w:rsidR="00626175" w:rsidRDefault="00241BDE" w:rsidP="000F7268">
      <w:pPr>
        <w:ind w:left="993"/>
        <w:jc w:val="both"/>
        <w:rPr>
          <w:rFonts w:ascii="Cambria" w:hAnsi="Cambria" w:cs="Times New Roman"/>
          <w:b/>
          <w:bCs/>
          <w:kern w:val="32"/>
          <w:sz w:val="24"/>
          <w:szCs w:val="32"/>
        </w:rPr>
      </w:pPr>
      <w:r>
        <w:t xml:space="preserve">Činnosť spoločnosti nemá </w:t>
      </w:r>
      <w:r w:rsidR="002D3272">
        <w:t xml:space="preserve">negatívny </w:t>
      </w:r>
      <w:r>
        <w:t xml:space="preserve">vplyv na životné prostredie. </w:t>
      </w:r>
    </w:p>
    <w:p w14:paraId="469FC8D5" w14:textId="1FE28E89" w:rsidR="00473146" w:rsidRPr="00E874FD" w:rsidRDefault="00473146" w:rsidP="00E874FD">
      <w:pPr>
        <w:pStyle w:val="Nadpis1"/>
        <w:numPr>
          <w:ilvl w:val="1"/>
          <w:numId w:val="7"/>
        </w:numPr>
        <w:rPr>
          <w:sz w:val="24"/>
        </w:rPr>
      </w:pPr>
      <w:bookmarkStart w:id="22" w:name="_Toc514145326"/>
      <w:r w:rsidRPr="00E874FD">
        <w:rPr>
          <w:sz w:val="24"/>
        </w:rPr>
        <w:t>Významné skutočnosti po termíne ročnej závierky</w:t>
      </w:r>
      <w:bookmarkEnd w:id="22"/>
    </w:p>
    <w:p w14:paraId="7AE86679" w14:textId="24EA149D" w:rsidR="008D0120" w:rsidRDefault="008D0120" w:rsidP="002A67E7">
      <w:pPr>
        <w:pStyle w:val="Odsekzoznamu1"/>
        <w:spacing w:after="0" w:line="240" w:lineRule="auto"/>
        <w:ind w:left="993"/>
        <w:jc w:val="both"/>
      </w:pPr>
      <w:r w:rsidRPr="002A67E7">
        <w:t>Po 31. decembri 201</w:t>
      </w:r>
      <w:r w:rsidR="00CC0F8A">
        <w:t>7</w:t>
      </w:r>
      <w:r w:rsidRPr="002A67E7">
        <w:t xml:space="preserve"> </w:t>
      </w:r>
      <w:r w:rsidR="00F132D9">
        <w:t>nen</w:t>
      </w:r>
      <w:r w:rsidRPr="002A67E7">
        <w:t xml:space="preserve">astali </w:t>
      </w:r>
      <w:r w:rsidR="00F132D9">
        <w:t xml:space="preserve">žiadne </w:t>
      </w:r>
      <w:r w:rsidRPr="002A67E7">
        <w:t xml:space="preserve">nasledovné udalosti, </w:t>
      </w:r>
      <w:r w:rsidR="00BF786C">
        <w:t>ktoré by mali vplyv na</w:t>
      </w:r>
      <w:r w:rsidR="00AF735D">
        <w:t> </w:t>
      </w:r>
      <w:r w:rsidR="00BF786C">
        <w:t xml:space="preserve">účtovnú závierku spoločnosti. </w:t>
      </w:r>
    </w:p>
    <w:p w14:paraId="0D493D00" w14:textId="77777777" w:rsidR="0073366F" w:rsidRDefault="0073366F" w:rsidP="002A67E7">
      <w:pPr>
        <w:pStyle w:val="Odsekzoznamu1"/>
        <w:spacing w:after="0" w:line="240" w:lineRule="auto"/>
        <w:ind w:left="993"/>
        <w:jc w:val="both"/>
      </w:pPr>
    </w:p>
    <w:p w14:paraId="59CE23F2" w14:textId="77777777" w:rsidR="00473146" w:rsidRDefault="00473146" w:rsidP="00E874FD">
      <w:pPr>
        <w:pStyle w:val="Nadpis1"/>
        <w:numPr>
          <w:ilvl w:val="0"/>
          <w:numId w:val="7"/>
        </w:numPr>
        <w:rPr>
          <w:sz w:val="28"/>
        </w:rPr>
      </w:pPr>
      <w:bookmarkStart w:id="23" w:name="_Toc514145327"/>
      <w:r w:rsidRPr="007B3E98">
        <w:rPr>
          <w:sz w:val="28"/>
        </w:rPr>
        <w:t>Výhľad spoločnosti</w:t>
      </w:r>
      <w:bookmarkEnd w:id="23"/>
    </w:p>
    <w:p w14:paraId="5445DF04" w14:textId="77777777" w:rsidR="00A32669" w:rsidRDefault="00A32669" w:rsidP="00A32669">
      <w:pPr>
        <w:pStyle w:val="Zkladntext"/>
        <w:ind w:left="360"/>
        <w:rPr>
          <w:rFonts w:ascii="Calibri" w:eastAsia="Calibri" w:hAnsi="Calibri" w:cs="Calibri"/>
          <w:sz w:val="22"/>
          <w:szCs w:val="22"/>
          <w:lang w:eastAsia="sk-SK"/>
        </w:rPr>
      </w:pPr>
    </w:p>
    <w:p w14:paraId="71AA5244" w14:textId="77777777" w:rsidR="0073366F" w:rsidRPr="00DF270E" w:rsidRDefault="0073366F" w:rsidP="0073366F">
      <w:pPr>
        <w:pStyle w:val="Zkladntext"/>
        <w:ind w:left="360"/>
        <w:rPr>
          <w:rFonts w:ascii="Calibri" w:eastAsia="Calibri" w:hAnsi="Calibri" w:cs="Calibri"/>
          <w:sz w:val="22"/>
          <w:szCs w:val="22"/>
          <w:lang w:eastAsia="sk-SK"/>
        </w:rPr>
      </w:pPr>
      <w:r w:rsidRPr="0073366F">
        <w:rPr>
          <w:rFonts w:ascii="Calibri" w:eastAsia="Calibri" w:hAnsi="Calibri" w:cs="Calibri"/>
          <w:sz w:val="22"/>
          <w:szCs w:val="22"/>
          <w:lang w:eastAsia="sk-SK"/>
        </w:rPr>
        <w:t>V roku 2018 spoločnosť očakáva tržby z predaja tovaru vo výške 13,8 mil. EUR. Nosnými položkami by sa mali stať najmä tržby z nákupu a následného re-predaja tovaru a energetických médií pre spoločnosti mimo skupinu. Za centrálne poskytované služby v oblasti obchodných aktivít – nákup surovín a predaj výrobkov hlavnej činnosti - realizované pre spoločnosti v skupine, predpokladáme tržby v objeme 7,3 mil. €. V rámci tržieb za služby spoločnosť predpokladá výnosy vo výške 4,1 mil. EUR najmä z poskytovaných služieb kompetenčného centra informatiky a služieb vývoja.</w:t>
      </w:r>
    </w:p>
    <w:p w14:paraId="2006BD08" w14:textId="77777777" w:rsidR="005D51C2" w:rsidRDefault="005D51C2" w:rsidP="00A32669">
      <w:pPr>
        <w:pStyle w:val="Zkladntext"/>
        <w:ind w:left="360"/>
        <w:rPr>
          <w:rFonts w:ascii="Calibri" w:eastAsia="Calibri" w:hAnsi="Calibri" w:cs="Calibri"/>
          <w:sz w:val="22"/>
          <w:szCs w:val="22"/>
          <w:lang w:eastAsia="sk-SK"/>
        </w:rPr>
      </w:pPr>
    </w:p>
    <w:p w14:paraId="3D8EA09E" w14:textId="2C4FA37D" w:rsidR="005D51C2" w:rsidRDefault="005D51C2" w:rsidP="00A32669">
      <w:pPr>
        <w:pStyle w:val="Zkladntext"/>
        <w:ind w:left="360"/>
        <w:rPr>
          <w:rFonts w:ascii="Calibri" w:eastAsia="Calibri" w:hAnsi="Calibri" w:cs="Calibri"/>
          <w:sz w:val="22"/>
          <w:szCs w:val="22"/>
          <w:lang w:eastAsia="sk-SK"/>
        </w:rPr>
      </w:pPr>
      <w:r>
        <w:rPr>
          <w:rFonts w:ascii="Calibri" w:eastAsia="Calibri" w:hAnsi="Calibri" w:cs="Calibri"/>
          <w:sz w:val="22"/>
          <w:szCs w:val="22"/>
          <w:lang w:eastAsia="sk-SK"/>
        </w:rPr>
        <w:t xml:space="preserve">V Bratislave, dňa </w:t>
      </w:r>
      <w:r w:rsidR="00D85CFC">
        <w:rPr>
          <w:rFonts w:ascii="Calibri" w:eastAsia="Calibri" w:hAnsi="Calibri" w:cs="Calibri"/>
          <w:sz w:val="22"/>
          <w:szCs w:val="22"/>
          <w:lang w:eastAsia="sk-SK"/>
        </w:rPr>
        <w:t>15.5.2018</w:t>
      </w:r>
    </w:p>
    <w:p w14:paraId="0ECB7C13" w14:textId="77777777" w:rsidR="005D51C2" w:rsidRDefault="005D51C2" w:rsidP="00A32669">
      <w:pPr>
        <w:pStyle w:val="Zkladntext"/>
        <w:ind w:left="360"/>
        <w:rPr>
          <w:rFonts w:ascii="Calibri" w:eastAsia="Calibri" w:hAnsi="Calibri" w:cs="Calibri"/>
          <w:sz w:val="22"/>
          <w:szCs w:val="22"/>
          <w:lang w:eastAsia="sk-SK"/>
        </w:rPr>
      </w:pPr>
    </w:p>
    <w:p w14:paraId="2F638C64" w14:textId="77777777" w:rsidR="005D51C2" w:rsidRDefault="005D51C2" w:rsidP="00A32669">
      <w:pPr>
        <w:pStyle w:val="Zkladntext"/>
        <w:ind w:left="360"/>
        <w:rPr>
          <w:rFonts w:ascii="Calibri" w:eastAsia="Calibri" w:hAnsi="Calibri" w:cs="Calibri"/>
          <w:sz w:val="22"/>
          <w:szCs w:val="22"/>
          <w:lang w:eastAsia="sk-SK"/>
        </w:rPr>
      </w:pPr>
    </w:p>
    <w:p w14:paraId="19E5F5F3" w14:textId="77777777" w:rsidR="00AF735D" w:rsidRDefault="00AF735D" w:rsidP="00A32669">
      <w:pPr>
        <w:pStyle w:val="Zkladntext"/>
        <w:ind w:left="360"/>
        <w:rPr>
          <w:rFonts w:ascii="Calibri" w:eastAsia="Calibri" w:hAnsi="Calibri" w:cs="Calibri"/>
          <w:sz w:val="22"/>
          <w:szCs w:val="22"/>
          <w:lang w:eastAsia="sk-SK"/>
        </w:rPr>
      </w:pPr>
    </w:p>
    <w:p w14:paraId="261934DC" w14:textId="77777777" w:rsidR="00AF735D" w:rsidRDefault="00AF735D" w:rsidP="00A32669">
      <w:pPr>
        <w:pStyle w:val="Zkladntext"/>
        <w:ind w:left="360"/>
        <w:rPr>
          <w:rFonts w:ascii="Calibri" w:eastAsia="Calibri" w:hAnsi="Calibri" w:cs="Calibri"/>
          <w:sz w:val="22"/>
          <w:szCs w:val="22"/>
          <w:lang w:eastAsia="sk-SK"/>
        </w:rPr>
      </w:pPr>
    </w:p>
    <w:p w14:paraId="190DA79B" w14:textId="77777777" w:rsidR="005D51C2" w:rsidRDefault="005D51C2" w:rsidP="00A32669">
      <w:pPr>
        <w:pStyle w:val="Zkladntext"/>
        <w:ind w:left="360"/>
        <w:rPr>
          <w:rFonts w:ascii="Calibri" w:eastAsia="Calibri" w:hAnsi="Calibri" w:cs="Calibri"/>
          <w:sz w:val="22"/>
          <w:szCs w:val="22"/>
          <w:lang w:eastAsia="sk-SK"/>
        </w:rPr>
      </w:pPr>
    </w:p>
    <w:p w14:paraId="0770E826" w14:textId="77777777" w:rsidR="005D51C2" w:rsidRPr="005D51C2" w:rsidRDefault="005D51C2" w:rsidP="005D51C2">
      <w:pPr>
        <w:pStyle w:val="Zkladntext"/>
        <w:ind w:left="360"/>
        <w:rPr>
          <w:rFonts w:ascii="Calibri" w:eastAsia="Calibri" w:hAnsi="Calibri" w:cs="Calibri"/>
          <w:sz w:val="22"/>
          <w:szCs w:val="22"/>
          <w:lang w:eastAsia="sk-SK"/>
        </w:rPr>
      </w:pPr>
    </w:p>
    <w:p w14:paraId="1186C197" w14:textId="77777777" w:rsidR="005D51C2" w:rsidRPr="005D51C2" w:rsidRDefault="005D51C2" w:rsidP="005D51C2">
      <w:pPr>
        <w:pStyle w:val="Zkladntext"/>
        <w:ind w:left="360"/>
        <w:rPr>
          <w:rFonts w:ascii="Calibri" w:eastAsia="Calibri" w:hAnsi="Calibri" w:cs="Calibri"/>
          <w:sz w:val="22"/>
          <w:szCs w:val="22"/>
          <w:lang w:eastAsia="sk-SK"/>
        </w:rPr>
      </w:pPr>
    </w:p>
    <w:p w14:paraId="79BD71C7" w14:textId="1ED4D856" w:rsidR="005D51C2" w:rsidRPr="005D51C2" w:rsidRDefault="005D51C2" w:rsidP="005D51C2">
      <w:pPr>
        <w:pStyle w:val="Zkladntext"/>
        <w:ind w:left="360"/>
        <w:rPr>
          <w:rFonts w:ascii="Calibri" w:eastAsia="Calibri" w:hAnsi="Calibri" w:cs="Calibri"/>
          <w:sz w:val="22"/>
          <w:szCs w:val="22"/>
          <w:lang w:eastAsia="sk-SK"/>
        </w:rPr>
      </w:pPr>
      <w:r w:rsidRPr="005D51C2">
        <w:rPr>
          <w:rFonts w:ascii="Calibri" w:eastAsia="Calibri" w:hAnsi="Calibri" w:cs="Calibri"/>
          <w:sz w:val="22"/>
          <w:szCs w:val="22"/>
          <w:lang w:eastAsia="sk-SK"/>
        </w:rPr>
        <w:t>___________________________</w:t>
      </w:r>
      <w:r w:rsidRPr="005D51C2">
        <w:rPr>
          <w:rFonts w:ascii="Calibri" w:eastAsia="Calibri" w:hAnsi="Calibri" w:cs="Calibri"/>
          <w:sz w:val="22"/>
          <w:szCs w:val="22"/>
          <w:lang w:eastAsia="sk-SK"/>
        </w:rPr>
        <w:tab/>
      </w:r>
      <w:r>
        <w:rPr>
          <w:rFonts w:ascii="Calibri" w:eastAsia="Calibri" w:hAnsi="Calibri" w:cs="Calibri"/>
          <w:sz w:val="22"/>
          <w:szCs w:val="22"/>
          <w:lang w:eastAsia="sk-SK"/>
        </w:rPr>
        <w:tab/>
      </w:r>
      <w:r>
        <w:rPr>
          <w:rFonts w:ascii="Calibri" w:eastAsia="Calibri" w:hAnsi="Calibri" w:cs="Calibri"/>
          <w:sz w:val="22"/>
          <w:szCs w:val="22"/>
          <w:lang w:eastAsia="sk-SK"/>
        </w:rPr>
        <w:tab/>
      </w:r>
      <w:r>
        <w:rPr>
          <w:rFonts w:ascii="Calibri" w:eastAsia="Calibri" w:hAnsi="Calibri" w:cs="Calibri"/>
          <w:sz w:val="22"/>
          <w:szCs w:val="22"/>
          <w:lang w:eastAsia="sk-SK"/>
        </w:rPr>
        <w:tab/>
      </w:r>
      <w:r w:rsidRPr="005D51C2">
        <w:rPr>
          <w:rFonts w:ascii="Calibri" w:eastAsia="Calibri" w:hAnsi="Calibri" w:cs="Calibri"/>
          <w:sz w:val="22"/>
          <w:szCs w:val="22"/>
          <w:lang w:eastAsia="sk-SK"/>
        </w:rPr>
        <w:t>___________________________</w:t>
      </w:r>
    </w:p>
    <w:p w14:paraId="78C487F8" w14:textId="2BFDFFB7" w:rsidR="005D51C2" w:rsidRDefault="00F752A2" w:rsidP="00681310">
      <w:pPr>
        <w:pStyle w:val="Zkladntext"/>
        <w:ind w:left="360"/>
        <w:rPr>
          <w:rFonts w:ascii="Calibri" w:eastAsia="Calibri" w:hAnsi="Calibri" w:cs="Calibri"/>
          <w:sz w:val="22"/>
          <w:szCs w:val="22"/>
          <w:lang w:eastAsia="sk-SK"/>
        </w:rPr>
      </w:pPr>
      <w:r>
        <w:rPr>
          <w:rFonts w:ascii="Calibri" w:eastAsia="Calibri" w:hAnsi="Calibri" w:cs="Calibri"/>
          <w:sz w:val="22"/>
          <w:szCs w:val="22"/>
          <w:lang w:eastAsia="sk-SK"/>
        </w:rPr>
        <w:t xml:space="preserve">           </w:t>
      </w:r>
      <w:r w:rsidR="00681310">
        <w:rPr>
          <w:rFonts w:ascii="Calibri" w:eastAsia="Calibri" w:hAnsi="Calibri" w:cs="Calibri"/>
          <w:sz w:val="22"/>
          <w:szCs w:val="22"/>
          <w:lang w:eastAsia="sk-SK"/>
        </w:rPr>
        <w:t xml:space="preserve">Ing. Ondrej Macko        </w:t>
      </w:r>
      <w:r w:rsidR="00681310">
        <w:rPr>
          <w:rFonts w:ascii="Calibri" w:eastAsia="Calibri" w:hAnsi="Calibri" w:cs="Calibri"/>
          <w:sz w:val="22"/>
          <w:szCs w:val="22"/>
          <w:lang w:eastAsia="sk-SK"/>
        </w:rPr>
        <w:tab/>
      </w:r>
      <w:r w:rsidR="00681310">
        <w:rPr>
          <w:rFonts w:ascii="Calibri" w:eastAsia="Calibri" w:hAnsi="Calibri" w:cs="Calibri"/>
          <w:sz w:val="22"/>
          <w:szCs w:val="22"/>
          <w:lang w:eastAsia="sk-SK"/>
        </w:rPr>
        <w:tab/>
      </w:r>
      <w:r w:rsidR="00681310">
        <w:rPr>
          <w:rFonts w:ascii="Calibri" w:eastAsia="Calibri" w:hAnsi="Calibri" w:cs="Calibri"/>
          <w:sz w:val="22"/>
          <w:szCs w:val="22"/>
          <w:lang w:eastAsia="sk-SK"/>
        </w:rPr>
        <w:tab/>
      </w:r>
      <w:r w:rsidR="00681310">
        <w:rPr>
          <w:rFonts w:ascii="Calibri" w:eastAsia="Calibri" w:hAnsi="Calibri" w:cs="Calibri"/>
          <w:sz w:val="22"/>
          <w:szCs w:val="22"/>
          <w:lang w:eastAsia="sk-SK"/>
        </w:rPr>
        <w:tab/>
      </w:r>
      <w:r w:rsidR="00681310">
        <w:rPr>
          <w:rFonts w:ascii="Calibri" w:eastAsia="Calibri" w:hAnsi="Calibri" w:cs="Calibri"/>
          <w:sz w:val="22"/>
          <w:szCs w:val="22"/>
          <w:lang w:eastAsia="sk-SK"/>
        </w:rPr>
        <w:tab/>
      </w:r>
      <w:r>
        <w:rPr>
          <w:rFonts w:ascii="Calibri" w:eastAsia="Calibri" w:hAnsi="Calibri" w:cs="Calibri"/>
          <w:sz w:val="22"/>
          <w:szCs w:val="22"/>
          <w:lang w:eastAsia="sk-SK"/>
        </w:rPr>
        <w:t xml:space="preserve"> </w:t>
      </w:r>
      <w:r w:rsidR="005D51C2" w:rsidRPr="005D51C2">
        <w:rPr>
          <w:rFonts w:ascii="Calibri" w:eastAsia="Calibri" w:hAnsi="Calibri" w:cs="Calibri"/>
          <w:sz w:val="22"/>
          <w:szCs w:val="22"/>
          <w:lang w:eastAsia="sk-SK"/>
        </w:rPr>
        <w:t>Ing.</w:t>
      </w:r>
      <w:r w:rsidR="006D3375">
        <w:rPr>
          <w:rFonts w:ascii="Calibri" w:eastAsia="Calibri" w:hAnsi="Calibri" w:cs="Calibri"/>
          <w:sz w:val="22"/>
          <w:szCs w:val="22"/>
          <w:lang w:eastAsia="sk-SK"/>
        </w:rPr>
        <w:t xml:space="preserve"> Boris Kreheľ</w:t>
      </w:r>
      <w:r w:rsidR="005D51C2" w:rsidRPr="005D51C2">
        <w:rPr>
          <w:rFonts w:ascii="Calibri" w:eastAsia="Calibri" w:hAnsi="Calibri" w:cs="Calibri"/>
          <w:sz w:val="22"/>
          <w:szCs w:val="22"/>
          <w:lang w:eastAsia="sk-SK"/>
        </w:rPr>
        <w:tab/>
      </w:r>
      <w:r w:rsidR="00681310">
        <w:rPr>
          <w:rFonts w:ascii="Calibri" w:eastAsia="Calibri" w:hAnsi="Calibri" w:cs="Calibri"/>
          <w:sz w:val="22"/>
          <w:szCs w:val="22"/>
          <w:lang w:eastAsia="sk-SK"/>
        </w:rPr>
        <w:tab/>
        <w:t>predseda predstavenstva</w:t>
      </w:r>
      <w:r w:rsidR="005D51C2">
        <w:rPr>
          <w:rFonts w:ascii="Calibri" w:eastAsia="Calibri" w:hAnsi="Calibri" w:cs="Calibri"/>
          <w:sz w:val="22"/>
          <w:szCs w:val="22"/>
          <w:lang w:eastAsia="sk-SK"/>
        </w:rPr>
        <w:tab/>
      </w:r>
      <w:r w:rsidR="00681310">
        <w:rPr>
          <w:rFonts w:ascii="Calibri" w:eastAsia="Calibri" w:hAnsi="Calibri" w:cs="Calibri"/>
          <w:sz w:val="22"/>
          <w:szCs w:val="22"/>
          <w:lang w:eastAsia="sk-SK"/>
        </w:rPr>
        <w:tab/>
      </w:r>
      <w:r w:rsidR="00681310">
        <w:rPr>
          <w:rFonts w:ascii="Calibri" w:eastAsia="Calibri" w:hAnsi="Calibri" w:cs="Calibri"/>
          <w:sz w:val="22"/>
          <w:szCs w:val="22"/>
          <w:lang w:eastAsia="sk-SK"/>
        </w:rPr>
        <w:tab/>
      </w:r>
      <w:r w:rsidR="00681310">
        <w:rPr>
          <w:rFonts w:ascii="Calibri" w:eastAsia="Calibri" w:hAnsi="Calibri" w:cs="Calibri"/>
          <w:sz w:val="22"/>
          <w:szCs w:val="22"/>
          <w:lang w:eastAsia="sk-SK"/>
        </w:rPr>
        <w:tab/>
        <w:t xml:space="preserve">           člen predstavenstva</w:t>
      </w:r>
    </w:p>
    <w:p w14:paraId="3BE39F87" w14:textId="77777777" w:rsidR="005D51C2" w:rsidRDefault="005D51C2" w:rsidP="00A32669">
      <w:pPr>
        <w:pStyle w:val="Zkladntext"/>
        <w:ind w:left="360"/>
        <w:rPr>
          <w:rFonts w:ascii="Calibri" w:eastAsia="Calibri" w:hAnsi="Calibri" w:cs="Calibri"/>
          <w:sz w:val="22"/>
          <w:szCs w:val="22"/>
          <w:lang w:eastAsia="sk-SK"/>
        </w:rPr>
      </w:pPr>
    </w:p>
    <w:p w14:paraId="052775DE" w14:textId="77777777" w:rsidR="00282DF9" w:rsidRDefault="00282DF9" w:rsidP="006C5E53">
      <w:pPr>
        <w:spacing w:line="240" w:lineRule="auto"/>
        <w:ind w:left="992"/>
        <w:jc w:val="both"/>
      </w:pPr>
    </w:p>
    <w:sectPr w:rsidR="00282DF9" w:rsidSect="00F876CD">
      <w:footerReference w:type="default" r:id="rId11"/>
      <w:pgSz w:w="11906" w:h="16838"/>
      <w:pgMar w:top="1417" w:right="1558" w:bottom="1417" w:left="1560"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D4C897" w14:textId="77777777" w:rsidR="0036704B" w:rsidRDefault="0036704B" w:rsidP="00CC1D36">
      <w:pPr>
        <w:spacing w:after="0" w:line="240" w:lineRule="auto"/>
      </w:pPr>
      <w:r>
        <w:separator/>
      </w:r>
    </w:p>
  </w:endnote>
  <w:endnote w:type="continuationSeparator" w:id="0">
    <w:p w14:paraId="5EF0C08A" w14:textId="77777777" w:rsidR="0036704B" w:rsidRDefault="0036704B" w:rsidP="00CC1D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DFD23" w14:textId="77777777" w:rsidR="00084E57" w:rsidRDefault="00084E57">
    <w:pPr>
      <w:pStyle w:val="Pta"/>
    </w:pPr>
  </w:p>
  <w:p w14:paraId="09B50B86" w14:textId="77777777" w:rsidR="00084E57" w:rsidRDefault="00084E5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9F9ED3" w14:textId="77777777" w:rsidR="00084E57" w:rsidRDefault="00084E57">
    <w:pPr>
      <w:pStyle w:val="Pta"/>
      <w:jc w:val="right"/>
    </w:pPr>
    <w:r>
      <w:fldChar w:fldCharType="begin"/>
    </w:r>
    <w:r>
      <w:instrText>PAGE   \* MERGEFORMAT</w:instrText>
    </w:r>
    <w:r>
      <w:fldChar w:fldCharType="separate"/>
    </w:r>
    <w:r w:rsidR="00093306">
      <w:rPr>
        <w:noProof/>
      </w:rPr>
      <w:t>9</w:t>
    </w:r>
    <w:r>
      <w:fldChar w:fldCharType="end"/>
    </w:r>
  </w:p>
  <w:p w14:paraId="169CDE58" w14:textId="77777777" w:rsidR="00084E57" w:rsidRDefault="00084E57">
    <w:pPr>
      <w:pStyle w:val="Pta"/>
    </w:pPr>
  </w:p>
  <w:p w14:paraId="1B0AA52C" w14:textId="77777777" w:rsidR="00084E57" w:rsidRDefault="00084E5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0F5CA8" w14:textId="77777777" w:rsidR="0036704B" w:rsidRDefault="0036704B" w:rsidP="00CC1D36">
      <w:pPr>
        <w:spacing w:after="0" w:line="240" w:lineRule="auto"/>
      </w:pPr>
      <w:r>
        <w:separator/>
      </w:r>
    </w:p>
  </w:footnote>
  <w:footnote w:type="continuationSeparator" w:id="0">
    <w:p w14:paraId="62934110" w14:textId="77777777" w:rsidR="0036704B" w:rsidRDefault="0036704B" w:rsidP="00CC1D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352AA"/>
    <w:multiLevelType w:val="hybridMultilevel"/>
    <w:tmpl w:val="C4EE788E"/>
    <w:lvl w:ilvl="0" w:tplc="04C41B5A">
      <w:start w:val="5"/>
      <w:numFmt w:val="bullet"/>
      <w:lvlText w:val="-"/>
      <w:lvlJc w:val="left"/>
      <w:pPr>
        <w:ind w:left="1494" w:hanging="360"/>
      </w:pPr>
      <w:rPr>
        <w:rFonts w:ascii="Calibri" w:eastAsia="Times New Roman" w:hAnsi="Calibri" w:hint="default"/>
        <w:b w:val="0"/>
      </w:rPr>
    </w:lvl>
    <w:lvl w:ilvl="1" w:tplc="041B0003">
      <w:start w:val="1"/>
      <w:numFmt w:val="bullet"/>
      <w:lvlText w:val="o"/>
      <w:lvlJc w:val="left"/>
      <w:pPr>
        <w:ind w:left="2214" w:hanging="360"/>
      </w:pPr>
      <w:rPr>
        <w:rFonts w:ascii="Courier New" w:hAnsi="Courier New" w:hint="default"/>
      </w:rPr>
    </w:lvl>
    <w:lvl w:ilvl="2" w:tplc="041B0005">
      <w:start w:val="1"/>
      <w:numFmt w:val="bullet"/>
      <w:lvlText w:val=""/>
      <w:lvlJc w:val="left"/>
      <w:pPr>
        <w:ind w:left="2934" w:hanging="360"/>
      </w:pPr>
      <w:rPr>
        <w:rFonts w:ascii="Wingdings" w:hAnsi="Wingdings" w:hint="default"/>
      </w:rPr>
    </w:lvl>
    <w:lvl w:ilvl="3" w:tplc="041B0001">
      <w:start w:val="1"/>
      <w:numFmt w:val="bullet"/>
      <w:lvlText w:val=""/>
      <w:lvlJc w:val="left"/>
      <w:pPr>
        <w:ind w:left="3654" w:hanging="360"/>
      </w:pPr>
      <w:rPr>
        <w:rFonts w:ascii="Symbol" w:hAnsi="Symbol" w:hint="default"/>
      </w:rPr>
    </w:lvl>
    <w:lvl w:ilvl="4" w:tplc="041B0003">
      <w:start w:val="1"/>
      <w:numFmt w:val="bullet"/>
      <w:lvlText w:val="o"/>
      <w:lvlJc w:val="left"/>
      <w:pPr>
        <w:ind w:left="4374" w:hanging="360"/>
      </w:pPr>
      <w:rPr>
        <w:rFonts w:ascii="Courier New" w:hAnsi="Courier New" w:hint="default"/>
      </w:rPr>
    </w:lvl>
    <w:lvl w:ilvl="5" w:tplc="041B0005">
      <w:start w:val="1"/>
      <w:numFmt w:val="bullet"/>
      <w:lvlText w:val=""/>
      <w:lvlJc w:val="left"/>
      <w:pPr>
        <w:ind w:left="5094" w:hanging="360"/>
      </w:pPr>
      <w:rPr>
        <w:rFonts w:ascii="Wingdings" w:hAnsi="Wingdings" w:hint="default"/>
      </w:rPr>
    </w:lvl>
    <w:lvl w:ilvl="6" w:tplc="041B0001">
      <w:start w:val="1"/>
      <w:numFmt w:val="bullet"/>
      <w:lvlText w:val=""/>
      <w:lvlJc w:val="left"/>
      <w:pPr>
        <w:ind w:left="5814" w:hanging="360"/>
      </w:pPr>
      <w:rPr>
        <w:rFonts w:ascii="Symbol" w:hAnsi="Symbol" w:hint="default"/>
      </w:rPr>
    </w:lvl>
    <w:lvl w:ilvl="7" w:tplc="041B0003">
      <w:start w:val="1"/>
      <w:numFmt w:val="bullet"/>
      <w:lvlText w:val="o"/>
      <w:lvlJc w:val="left"/>
      <w:pPr>
        <w:ind w:left="6534" w:hanging="360"/>
      </w:pPr>
      <w:rPr>
        <w:rFonts w:ascii="Courier New" w:hAnsi="Courier New" w:hint="default"/>
      </w:rPr>
    </w:lvl>
    <w:lvl w:ilvl="8" w:tplc="041B0005">
      <w:start w:val="1"/>
      <w:numFmt w:val="bullet"/>
      <w:lvlText w:val=""/>
      <w:lvlJc w:val="left"/>
      <w:pPr>
        <w:ind w:left="7254" w:hanging="360"/>
      </w:pPr>
      <w:rPr>
        <w:rFonts w:ascii="Wingdings" w:hAnsi="Wingdings" w:hint="default"/>
      </w:rPr>
    </w:lvl>
  </w:abstractNum>
  <w:abstractNum w:abstractNumId="1" w15:restartNumberingAfterBreak="0">
    <w:nsid w:val="129B6951"/>
    <w:multiLevelType w:val="hybridMultilevel"/>
    <w:tmpl w:val="403E1C7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3740AEC"/>
    <w:multiLevelType w:val="hybridMultilevel"/>
    <w:tmpl w:val="9BAEEBFE"/>
    <w:lvl w:ilvl="0" w:tplc="041B0001">
      <w:start w:val="1"/>
      <w:numFmt w:val="bullet"/>
      <w:lvlText w:val=""/>
      <w:lvlJc w:val="left"/>
      <w:pPr>
        <w:ind w:left="1429" w:hanging="360"/>
      </w:pPr>
      <w:rPr>
        <w:rFonts w:ascii="Symbol" w:hAnsi="Symbol" w:hint="default"/>
      </w:rPr>
    </w:lvl>
    <w:lvl w:ilvl="1" w:tplc="041B0003">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3" w15:restartNumberingAfterBreak="0">
    <w:nsid w:val="14E13FE2"/>
    <w:multiLevelType w:val="multilevel"/>
    <w:tmpl w:val="E808418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4" w15:restartNumberingAfterBreak="0">
    <w:nsid w:val="151B638C"/>
    <w:multiLevelType w:val="hybridMultilevel"/>
    <w:tmpl w:val="373A2F2E"/>
    <w:lvl w:ilvl="0" w:tplc="4FF62334">
      <w:start w:val="1"/>
      <w:numFmt w:val="bullet"/>
      <w:pStyle w:val="ODRAZKY"/>
      <w:lvlText w:val=""/>
      <w:lvlJc w:val="left"/>
      <w:pPr>
        <w:tabs>
          <w:tab w:val="num" w:pos="567"/>
        </w:tabs>
        <w:ind w:left="567" w:hanging="567"/>
      </w:pPr>
      <w:rPr>
        <w:rFonts w:ascii="Wingdings" w:hAnsi="Wingdings"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A21A88"/>
    <w:multiLevelType w:val="hybridMultilevel"/>
    <w:tmpl w:val="1D244A5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1">
      <w:start w:val="1"/>
      <w:numFmt w:val="bullet"/>
      <w:lvlText w:val=""/>
      <w:lvlJc w:val="left"/>
      <w:pPr>
        <w:ind w:left="2160" w:hanging="360"/>
      </w:pPr>
      <w:rPr>
        <w:rFonts w:ascii="Symbol" w:hAnsi="Symbol"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201C14B9"/>
    <w:multiLevelType w:val="hybridMultilevel"/>
    <w:tmpl w:val="82EC2D4C"/>
    <w:lvl w:ilvl="0" w:tplc="041B0001">
      <w:start w:val="1"/>
      <w:numFmt w:val="bullet"/>
      <w:lvlText w:val=""/>
      <w:lvlJc w:val="left"/>
      <w:pPr>
        <w:ind w:left="1713" w:hanging="360"/>
      </w:pPr>
      <w:rPr>
        <w:rFonts w:ascii="Symbol" w:hAnsi="Symbol" w:hint="default"/>
      </w:rPr>
    </w:lvl>
    <w:lvl w:ilvl="1" w:tplc="041B0003" w:tentative="1">
      <w:start w:val="1"/>
      <w:numFmt w:val="bullet"/>
      <w:lvlText w:val="o"/>
      <w:lvlJc w:val="left"/>
      <w:pPr>
        <w:ind w:left="2433" w:hanging="360"/>
      </w:pPr>
      <w:rPr>
        <w:rFonts w:ascii="Courier New" w:hAnsi="Courier New" w:cs="Courier New" w:hint="default"/>
      </w:rPr>
    </w:lvl>
    <w:lvl w:ilvl="2" w:tplc="041B0005" w:tentative="1">
      <w:start w:val="1"/>
      <w:numFmt w:val="bullet"/>
      <w:lvlText w:val=""/>
      <w:lvlJc w:val="left"/>
      <w:pPr>
        <w:ind w:left="3153" w:hanging="360"/>
      </w:pPr>
      <w:rPr>
        <w:rFonts w:ascii="Wingdings" w:hAnsi="Wingdings" w:hint="default"/>
      </w:rPr>
    </w:lvl>
    <w:lvl w:ilvl="3" w:tplc="041B0001" w:tentative="1">
      <w:start w:val="1"/>
      <w:numFmt w:val="bullet"/>
      <w:lvlText w:val=""/>
      <w:lvlJc w:val="left"/>
      <w:pPr>
        <w:ind w:left="3873" w:hanging="360"/>
      </w:pPr>
      <w:rPr>
        <w:rFonts w:ascii="Symbol" w:hAnsi="Symbol" w:hint="default"/>
      </w:rPr>
    </w:lvl>
    <w:lvl w:ilvl="4" w:tplc="041B0003" w:tentative="1">
      <w:start w:val="1"/>
      <w:numFmt w:val="bullet"/>
      <w:lvlText w:val="o"/>
      <w:lvlJc w:val="left"/>
      <w:pPr>
        <w:ind w:left="4593" w:hanging="360"/>
      </w:pPr>
      <w:rPr>
        <w:rFonts w:ascii="Courier New" w:hAnsi="Courier New" w:cs="Courier New" w:hint="default"/>
      </w:rPr>
    </w:lvl>
    <w:lvl w:ilvl="5" w:tplc="041B0005" w:tentative="1">
      <w:start w:val="1"/>
      <w:numFmt w:val="bullet"/>
      <w:lvlText w:val=""/>
      <w:lvlJc w:val="left"/>
      <w:pPr>
        <w:ind w:left="5313" w:hanging="360"/>
      </w:pPr>
      <w:rPr>
        <w:rFonts w:ascii="Wingdings" w:hAnsi="Wingdings" w:hint="default"/>
      </w:rPr>
    </w:lvl>
    <w:lvl w:ilvl="6" w:tplc="041B0001" w:tentative="1">
      <w:start w:val="1"/>
      <w:numFmt w:val="bullet"/>
      <w:lvlText w:val=""/>
      <w:lvlJc w:val="left"/>
      <w:pPr>
        <w:ind w:left="6033" w:hanging="360"/>
      </w:pPr>
      <w:rPr>
        <w:rFonts w:ascii="Symbol" w:hAnsi="Symbol" w:hint="default"/>
      </w:rPr>
    </w:lvl>
    <w:lvl w:ilvl="7" w:tplc="041B0003" w:tentative="1">
      <w:start w:val="1"/>
      <w:numFmt w:val="bullet"/>
      <w:lvlText w:val="o"/>
      <w:lvlJc w:val="left"/>
      <w:pPr>
        <w:ind w:left="6753" w:hanging="360"/>
      </w:pPr>
      <w:rPr>
        <w:rFonts w:ascii="Courier New" w:hAnsi="Courier New" w:cs="Courier New" w:hint="default"/>
      </w:rPr>
    </w:lvl>
    <w:lvl w:ilvl="8" w:tplc="041B0005" w:tentative="1">
      <w:start w:val="1"/>
      <w:numFmt w:val="bullet"/>
      <w:lvlText w:val=""/>
      <w:lvlJc w:val="left"/>
      <w:pPr>
        <w:ind w:left="7473" w:hanging="360"/>
      </w:pPr>
      <w:rPr>
        <w:rFonts w:ascii="Wingdings" w:hAnsi="Wingdings" w:hint="default"/>
      </w:rPr>
    </w:lvl>
  </w:abstractNum>
  <w:abstractNum w:abstractNumId="7" w15:restartNumberingAfterBreak="0">
    <w:nsid w:val="3AAA393B"/>
    <w:multiLevelType w:val="hybridMultilevel"/>
    <w:tmpl w:val="0896A6C8"/>
    <w:lvl w:ilvl="0" w:tplc="D6482934">
      <w:start w:val="28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3F3473F7"/>
    <w:multiLevelType w:val="hybridMultilevel"/>
    <w:tmpl w:val="2ACE8A86"/>
    <w:lvl w:ilvl="0" w:tplc="0DEA496C">
      <w:start w:val="1"/>
      <w:numFmt w:val="decimal"/>
      <w:pStyle w:val="ODRAZKY2"/>
      <w:lvlText w:val="%1."/>
      <w:lvlJc w:val="left"/>
      <w:pPr>
        <w:ind w:left="570" w:hanging="570"/>
      </w:pPr>
      <w:rPr>
        <w:rFonts w:cs="Times New Roman" w:hint="default"/>
      </w:rPr>
    </w:lvl>
    <w:lvl w:ilvl="1" w:tplc="041B0019">
      <w:start w:val="1"/>
      <w:numFmt w:val="lowerLetter"/>
      <w:lvlText w:val="%2."/>
      <w:lvlJc w:val="left"/>
      <w:pPr>
        <w:ind w:left="1648" w:hanging="360"/>
      </w:pPr>
      <w:rPr>
        <w:rFonts w:cs="Times New Roman"/>
      </w:rPr>
    </w:lvl>
    <w:lvl w:ilvl="2" w:tplc="041B001B">
      <w:start w:val="1"/>
      <w:numFmt w:val="lowerRoman"/>
      <w:lvlText w:val="%3."/>
      <w:lvlJc w:val="right"/>
      <w:pPr>
        <w:ind w:left="2368" w:hanging="180"/>
      </w:pPr>
      <w:rPr>
        <w:rFonts w:cs="Times New Roman"/>
      </w:rPr>
    </w:lvl>
    <w:lvl w:ilvl="3" w:tplc="041B000F">
      <w:start w:val="1"/>
      <w:numFmt w:val="decimal"/>
      <w:lvlText w:val="%4."/>
      <w:lvlJc w:val="left"/>
      <w:pPr>
        <w:ind w:left="3088" w:hanging="360"/>
      </w:pPr>
      <w:rPr>
        <w:rFonts w:cs="Times New Roman"/>
      </w:rPr>
    </w:lvl>
    <w:lvl w:ilvl="4" w:tplc="041B0019">
      <w:start w:val="1"/>
      <w:numFmt w:val="lowerLetter"/>
      <w:lvlText w:val="%5."/>
      <w:lvlJc w:val="left"/>
      <w:pPr>
        <w:ind w:left="3808" w:hanging="360"/>
      </w:pPr>
      <w:rPr>
        <w:rFonts w:cs="Times New Roman"/>
      </w:rPr>
    </w:lvl>
    <w:lvl w:ilvl="5" w:tplc="041B001B">
      <w:start w:val="1"/>
      <w:numFmt w:val="lowerRoman"/>
      <w:lvlText w:val="%6."/>
      <w:lvlJc w:val="right"/>
      <w:pPr>
        <w:ind w:left="4528" w:hanging="180"/>
      </w:pPr>
      <w:rPr>
        <w:rFonts w:cs="Times New Roman"/>
      </w:rPr>
    </w:lvl>
    <w:lvl w:ilvl="6" w:tplc="041B000F">
      <w:start w:val="1"/>
      <w:numFmt w:val="decimal"/>
      <w:lvlText w:val="%7."/>
      <w:lvlJc w:val="left"/>
      <w:pPr>
        <w:ind w:left="5248" w:hanging="360"/>
      </w:pPr>
      <w:rPr>
        <w:rFonts w:cs="Times New Roman"/>
      </w:rPr>
    </w:lvl>
    <w:lvl w:ilvl="7" w:tplc="041B0019">
      <w:start w:val="1"/>
      <w:numFmt w:val="lowerLetter"/>
      <w:lvlText w:val="%8."/>
      <w:lvlJc w:val="left"/>
      <w:pPr>
        <w:ind w:left="5968" w:hanging="360"/>
      </w:pPr>
      <w:rPr>
        <w:rFonts w:cs="Times New Roman"/>
      </w:rPr>
    </w:lvl>
    <w:lvl w:ilvl="8" w:tplc="041B001B">
      <w:start w:val="1"/>
      <w:numFmt w:val="lowerRoman"/>
      <w:lvlText w:val="%9."/>
      <w:lvlJc w:val="right"/>
      <w:pPr>
        <w:ind w:left="6688" w:hanging="180"/>
      </w:pPr>
      <w:rPr>
        <w:rFonts w:cs="Times New Roman"/>
      </w:rPr>
    </w:lvl>
  </w:abstractNum>
  <w:abstractNum w:abstractNumId="9" w15:restartNumberingAfterBreak="0">
    <w:nsid w:val="41232911"/>
    <w:multiLevelType w:val="hybridMultilevel"/>
    <w:tmpl w:val="731A46CE"/>
    <w:lvl w:ilvl="0" w:tplc="041B000B">
      <w:start w:val="1"/>
      <w:numFmt w:val="bullet"/>
      <w:lvlText w:val=""/>
      <w:lvlJc w:val="left"/>
      <w:pPr>
        <w:ind w:left="1287" w:hanging="360"/>
      </w:pPr>
      <w:rPr>
        <w:rFonts w:ascii="Wingdings" w:hAnsi="Wingdings"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0" w15:restartNumberingAfterBreak="0">
    <w:nsid w:val="48953509"/>
    <w:multiLevelType w:val="hybridMultilevel"/>
    <w:tmpl w:val="BBF418FE"/>
    <w:lvl w:ilvl="0" w:tplc="09F09C40">
      <w:start w:val="4"/>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4EED2BAD"/>
    <w:multiLevelType w:val="hybridMultilevel"/>
    <w:tmpl w:val="DF16E168"/>
    <w:lvl w:ilvl="0" w:tplc="AE08F8FE">
      <w:numFmt w:val="bullet"/>
      <w:lvlText w:val="-"/>
      <w:lvlJc w:val="left"/>
      <w:pPr>
        <w:ind w:left="1348" w:hanging="360"/>
      </w:pPr>
      <w:rPr>
        <w:rFonts w:ascii="Calibri" w:eastAsia="Times New Roman" w:hAnsi="Calibri" w:cs="Arial" w:hint="default"/>
      </w:rPr>
    </w:lvl>
    <w:lvl w:ilvl="1" w:tplc="041B0003" w:tentative="1">
      <w:start w:val="1"/>
      <w:numFmt w:val="bullet"/>
      <w:lvlText w:val="o"/>
      <w:lvlJc w:val="left"/>
      <w:pPr>
        <w:ind w:left="2068" w:hanging="360"/>
      </w:pPr>
      <w:rPr>
        <w:rFonts w:ascii="Courier New" w:hAnsi="Courier New" w:cs="Courier New" w:hint="default"/>
      </w:rPr>
    </w:lvl>
    <w:lvl w:ilvl="2" w:tplc="041B0005" w:tentative="1">
      <w:start w:val="1"/>
      <w:numFmt w:val="bullet"/>
      <w:lvlText w:val=""/>
      <w:lvlJc w:val="left"/>
      <w:pPr>
        <w:ind w:left="2788" w:hanging="360"/>
      </w:pPr>
      <w:rPr>
        <w:rFonts w:ascii="Wingdings" w:hAnsi="Wingdings" w:hint="default"/>
      </w:rPr>
    </w:lvl>
    <w:lvl w:ilvl="3" w:tplc="041B0001" w:tentative="1">
      <w:start w:val="1"/>
      <w:numFmt w:val="bullet"/>
      <w:lvlText w:val=""/>
      <w:lvlJc w:val="left"/>
      <w:pPr>
        <w:ind w:left="3508" w:hanging="360"/>
      </w:pPr>
      <w:rPr>
        <w:rFonts w:ascii="Symbol" w:hAnsi="Symbol" w:hint="default"/>
      </w:rPr>
    </w:lvl>
    <w:lvl w:ilvl="4" w:tplc="041B0003" w:tentative="1">
      <w:start w:val="1"/>
      <w:numFmt w:val="bullet"/>
      <w:lvlText w:val="o"/>
      <w:lvlJc w:val="left"/>
      <w:pPr>
        <w:ind w:left="4228" w:hanging="360"/>
      </w:pPr>
      <w:rPr>
        <w:rFonts w:ascii="Courier New" w:hAnsi="Courier New" w:cs="Courier New" w:hint="default"/>
      </w:rPr>
    </w:lvl>
    <w:lvl w:ilvl="5" w:tplc="041B0005" w:tentative="1">
      <w:start w:val="1"/>
      <w:numFmt w:val="bullet"/>
      <w:lvlText w:val=""/>
      <w:lvlJc w:val="left"/>
      <w:pPr>
        <w:ind w:left="4948" w:hanging="360"/>
      </w:pPr>
      <w:rPr>
        <w:rFonts w:ascii="Wingdings" w:hAnsi="Wingdings" w:hint="default"/>
      </w:rPr>
    </w:lvl>
    <w:lvl w:ilvl="6" w:tplc="041B0001" w:tentative="1">
      <w:start w:val="1"/>
      <w:numFmt w:val="bullet"/>
      <w:lvlText w:val=""/>
      <w:lvlJc w:val="left"/>
      <w:pPr>
        <w:ind w:left="5668" w:hanging="360"/>
      </w:pPr>
      <w:rPr>
        <w:rFonts w:ascii="Symbol" w:hAnsi="Symbol" w:hint="default"/>
      </w:rPr>
    </w:lvl>
    <w:lvl w:ilvl="7" w:tplc="041B0003" w:tentative="1">
      <w:start w:val="1"/>
      <w:numFmt w:val="bullet"/>
      <w:lvlText w:val="o"/>
      <w:lvlJc w:val="left"/>
      <w:pPr>
        <w:ind w:left="6388" w:hanging="360"/>
      </w:pPr>
      <w:rPr>
        <w:rFonts w:ascii="Courier New" w:hAnsi="Courier New" w:cs="Courier New" w:hint="default"/>
      </w:rPr>
    </w:lvl>
    <w:lvl w:ilvl="8" w:tplc="041B0005" w:tentative="1">
      <w:start w:val="1"/>
      <w:numFmt w:val="bullet"/>
      <w:lvlText w:val=""/>
      <w:lvlJc w:val="left"/>
      <w:pPr>
        <w:ind w:left="7108" w:hanging="360"/>
      </w:pPr>
      <w:rPr>
        <w:rFonts w:ascii="Wingdings" w:hAnsi="Wingdings" w:hint="default"/>
      </w:rPr>
    </w:lvl>
  </w:abstractNum>
  <w:abstractNum w:abstractNumId="12" w15:restartNumberingAfterBreak="0">
    <w:nsid w:val="50EB1F79"/>
    <w:multiLevelType w:val="multilevel"/>
    <w:tmpl w:val="041B001F"/>
    <w:lvl w:ilvl="0">
      <w:start w:val="1"/>
      <w:numFmt w:val="decimal"/>
      <w:lvlText w:val="%1."/>
      <w:lvlJc w:val="left"/>
      <w:pPr>
        <w:ind w:left="502"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45343C4"/>
    <w:multiLevelType w:val="hybridMultilevel"/>
    <w:tmpl w:val="ACEC79EC"/>
    <w:lvl w:ilvl="0" w:tplc="041B000D">
      <w:start w:val="1"/>
      <w:numFmt w:val="bullet"/>
      <w:lvlText w:val=""/>
      <w:lvlJc w:val="left"/>
      <w:pPr>
        <w:ind w:left="1713" w:hanging="360"/>
      </w:pPr>
      <w:rPr>
        <w:rFonts w:ascii="Wingdings" w:hAnsi="Wingdings" w:hint="default"/>
      </w:rPr>
    </w:lvl>
    <w:lvl w:ilvl="1" w:tplc="041B0019" w:tentative="1">
      <w:start w:val="1"/>
      <w:numFmt w:val="lowerLetter"/>
      <w:lvlText w:val="%2."/>
      <w:lvlJc w:val="left"/>
      <w:pPr>
        <w:ind w:left="2433" w:hanging="360"/>
      </w:pPr>
    </w:lvl>
    <w:lvl w:ilvl="2" w:tplc="041B001B" w:tentative="1">
      <w:start w:val="1"/>
      <w:numFmt w:val="lowerRoman"/>
      <w:lvlText w:val="%3."/>
      <w:lvlJc w:val="right"/>
      <w:pPr>
        <w:ind w:left="3153" w:hanging="180"/>
      </w:pPr>
    </w:lvl>
    <w:lvl w:ilvl="3" w:tplc="041B000F" w:tentative="1">
      <w:start w:val="1"/>
      <w:numFmt w:val="decimal"/>
      <w:lvlText w:val="%4."/>
      <w:lvlJc w:val="left"/>
      <w:pPr>
        <w:ind w:left="3873" w:hanging="360"/>
      </w:pPr>
    </w:lvl>
    <w:lvl w:ilvl="4" w:tplc="041B0019" w:tentative="1">
      <w:start w:val="1"/>
      <w:numFmt w:val="lowerLetter"/>
      <w:lvlText w:val="%5."/>
      <w:lvlJc w:val="left"/>
      <w:pPr>
        <w:ind w:left="4593" w:hanging="360"/>
      </w:pPr>
    </w:lvl>
    <w:lvl w:ilvl="5" w:tplc="041B001B" w:tentative="1">
      <w:start w:val="1"/>
      <w:numFmt w:val="lowerRoman"/>
      <w:lvlText w:val="%6."/>
      <w:lvlJc w:val="right"/>
      <w:pPr>
        <w:ind w:left="5313" w:hanging="180"/>
      </w:pPr>
    </w:lvl>
    <w:lvl w:ilvl="6" w:tplc="041B000F" w:tentative="1">
      <w:start w:val="1"/>
      <w:numFmt w:val="decimal"/>
      <w:lvlText w:val="%7."/>
      <w:lvlJc w:val="left"/>
      <w:pPr>
        <w:ind w:left="6033" w:hanging="360"/>
      </w:pPr>
    </w:lvl>
    <w:lvl w:ilvl="7" w:tplc="041B0019" w:tentative="1">
      <w:start w:val="1"/>
      <w:numFmt w:val="lowerLetter"/>
      <w:lvlText w:val="%8."/>
      <w:lvlJc w:val="left"/>
      <w:pPr>
        <w:ind w:left="6753" w:hanging="360"/>
      </w:pPr>
    </w:lvl>
    <w:lvl w:ilvl="8" w:tplc="041B001B" w:tentative="1">
      <w:start w:val="1"/>
      <w:numFmt w:val="lowerRoman"/>
      <w:lvlText w:val="%9."/>
      <w:lvlJc w:val="right"/>
      <w:pPr>
        <w:ind w:left="7473" w:hanging="180"/>
      </w:pPr>
    </w:lvl>
  </w:abstractNum>
  <w:abstractNum w:abstractNumId="14" w15:restartNumberingAfterBreak="0">
    <w:nsid w:val="60B12669"/>
    <w:multiLevelType w:val="hybridMultilevel"/>
    <w:tmpl w:val="C07A8890"/>
    <w:lvl w:ilvl="0" w:tplc="B38EFCD2">
      <w:start w:val="1"/>
      <w:numFmt w:val="bullet"/>
      <w:lvlText w:val="-"/>
      <w:lvlJc w:val="left"/>
      <w:pPr>
        <w:ind w:left="1353" w:hanging="360"/>
      </w:pPr>
      <w:rPr>
        <w:rFonts w:ascii="Calibri" w:eastAsia="Calibri" w:hAnsi="Calibri" w:cs="Calibri" w:hint="default"/>
      </w:rPr>
    </w:lvl>
    <w:lvl w:ilvl="1" w:tplc="041B0003" w:tentative="1">
      <w:start w:val="1"/>
      <w:numFmt w:val="bullet"/>
      <w:lvlText w:val="o"/>
      <w:lvlJc w:val="left"/>
      <w:pPr>
        <w:ind w:left="2073" w:hanging="360"/>
      </w:pPr>
      <w:rPr>
        <w:rFonts w:ascii="Courier New" w:hAnsi="Courier New" w:cs="Courier New" w:hint="default"/>
      </w:rPr>
    </w:lvl>
    <w:lvl w:ilvl="2" w:tplc="041B0005" w:tentative="1">
      <w:start w:val="1"/>
      <w:numFmt w:val="bullet"/>
      <w:lvlText w:val=""/>
      <w:lvlJc w:val="left"/>
      <w:pPr>
        <w:ind w:left="2793" w:hanging="360"/>
      </w:pPr>
      <w:rPr>
        <w:rFonts w:ascii="Wingdings" w:hAnsi="Wingdings" w:hint="default"/>
      </w:rPr>
    </w:lvl>
    <w:lvl w:ilvl="3" w:tplc="041B0001" w:tentative="1">
      <w:start w:val="1"/>
      <w:numFmt w:val="bullet"/>
      <w:lvlText w:val=""/>
      <w:lvlJc w:val="left"/>
      <w:pPr>
        <w:ind w:left="3513" w:hanging="360"/>
      </w:pPr>
      <w:rPr>
        <w:rFonts w:ascii="Symbol" w:hAnsi="Symbol" w:hint="default"/>
      </w:rPr>
    </w:lvl>
    <w:lvl w:ilvl="4" w:tplc="041B0003" w:tentative="1">
      <w:start w:val="1"/>
      <w:numFmt w:val="bullet"/>
      <w:lvlText w:val="o"/>
      <w:lvlJc w:val="left"/>
      <w:pPr>
        <w:ind w:left="4233" w:hanging="360"/>
      </w:pPr>
      <w:rPr>
        <w:rFonts w:ascii="Courier New" w:hAnsi="Courier New" w:cs="Courier New" w:hint="default"/>
      </w:rPr>
    </w:lvl>
    <w:lvl w:ilvl="5" w:tplc="041B0005" w:tentative="1">
      <w:start w:val="1"/>
      <w:numFmt w:val="bullet"/>
      <w:lvlText w:val=""/>
      <w:lvlJc w:val="left"/>
      <w:pPr>
        <w:ind w:left="4953" w:hanging="360"/>
      </w:pPr>
      <w:rPr>
        <w:rFonts w:ascii="Wingdings" w:hAnsi="Wingdings" w:hint="default"/>
      </w:rPr>
    </w:lvl>
    <w:lvl w:ilvl="6" w:tplc="041B0001" w:tentative="1">
      <w:start w:val="1"/>
      <w:numFmt w:val="bullet"/>
      <w:lvlText w:val=""/>
      <w:lvlJc w:val="left"/>
      <w:pPr>
        <w:ind w:left="5673" w:hanging="360"/>
      </w:pPr>
      <w:rPr>
        <w:rFonts w:ascii="Symbol" w:hAnsi="Symbol" w:hint="default"/>
      </w:rPr>
    </w:lvl>
    <w:lvl w:ilvl="7" w:tplc="041B0003" w:tentative="1">
      <w:start w:val="1"/>
      <w:numFmt w:val="bullet"/>
      <w:lvlText w:val="o"/>
      <w:lvlJc w:val="left"/>
      <w:pPr>
        <w:ind w:left="6393" w:hanging="360"/>
      </w:pPr>
      <w:rPr>
        <w:rFonts w:ascii="Courier New" w:hAnsi="Courier New" w:cs="Courier New" w:hint="default"/>
      </w:rPr>
    </w:lvl>
    <w:lvl w:ilvl="8" w:tplc="041B0005" w:tentative="1">
      <w:start w:val="1"/>
      <w:numFmt w:val="bullet"/>
      <w:lvlText w:val=""/>
      <w:lvlJc w:val="left"/>
      <w:pPr>
        <w:ind w:left="7113" w:hanging="360"/>
      </w:pPr>
      <w:rPr>
        <w:rFonts w:ascii="Wingdings" w:hAnsi="Wingdings" w:hint="default"/>
      </w:rPr>
    </w:lvl>
  </w:abstractNum>
  <w:abstractNum w:abstractNumId="15" w15:restartNumberingAfterBreak="0">
    <w:nsid w:val="63DD6D15"/>
    <w:multiLevelType w:val="hybridMultilevel"/>
    <w:tmpl w:val="26FAB8F6"/>
    <w:lvl w:ilvl="0" w:tplc="041B000B">
      <w:start w:val="1"/>
      <w:numFmt w:val="bullet"/>
      <w:lvlText w:val=""/>
      <w:lvlJc w:val="left"/>
      <w:pPr>
        <w:ind w:left="644" w:hanging="360"/>
      </w:pPr>
      <w:rPr>
        <w:rFonts w:ascii="Wingdings" w:hAnsi="Wingdings" w:hint="default"/>
      </w:rPr>
    </w:lvl>
    <w:lvl w:ilvl="1" w:tplc="041B0003" w:tentative="1">
      <w:start w:val="1"/>
      <w:numFmt w:val="bullet"/>
      <w:lvlText w:val="o"/>
      <w:lvlJc w:val="left"/>
      <w:pPr>
        <w:ind w:left="1364" w:hanging="360"/>
      </w:pPr>
      <w:rPr>
        <w:rFonts w:ascii="Courier New" w:hAnsi="Courier New" w:cs="Courier New" w:hint="default"/>
      </w:rPr>
    </w:lvl>
    <w:lvl w:ilvl="2" w:tplc="041B0005" w:tentative="1">
      <w:start w:val="1"/>
      <w:numFmt w:val="bullet"/>
      <w:lvlText w:val=""/>
      <w:lvlJc w:val="left"/>
      <w:pPr>
        <w:ind w:left="2084" w:hanging="360"/>
      </w:pPr>
      <w:rPr>
        <w:rFonts w:ascii="Wingdings" w:hAnsi="Wingdings" w:hint="default"/>
      </w:rPr>
    </w:lvl>
    <w:lvl w:ilvl="3" w:tplc="041B0001" w:tentative="1">
      <w:start w:val="1"/>
      <w:numFmt w:val="bullet"/>
      <w:lvlText w:val=""/>
      <w:lvlJc w:val="left"/>
      <w:pPr>
        <w:ind w:left="2804" w:hanging="360"/>
      </w:pPr>
      <w:rPr>
        <w:rFonts w:ascii="Symbol" w:hAnsi="Symbol" w:hint="default"/>
      </w:rPr>
    </w:lvl>
    <w:lvl w:ilvl="4" w:tplc="041B0003" w:tentative="1">
      <w:start w:val="1"/>
      <w:numFmt w:val="bullet"/>
      <w:lvlText w:val="o"/>
      <w:lvlJc w:val="left"/>
      <w:pPr>
        <w:ind w:left="3524" w:hanging="360"/>
      </w:pPr>
      <w:rPr>
        <w:rFonts w:ascii="Courier New" w:hAnsi="Courier New" w:cs="Courier New" w:hint="default"/>
      </w:rPr>
    </w:lvl>
    <w:lvl w:ilvl="5" w:tplc="041B0005" w:tentative="1">
      <w:start w:val="1"/>
      <w:numFmt w:val="bullet"/>
      <w:lvlText w:val=""/>
      <w:lvlJc w:val="left"/>
      <w:pPr>
        <w:ind w:left="4244" w:hanging="360"/>
      </w:pPr>
      <w:rPr>
        <w:rFonts w:ascii="Wingdings" w:hAnsi="Wingdings" w:hint="default"/>
      </w:rPr>
    </w:lvl>
    <w:lvl w:ilvl="6" w:tplc="041B0001" w:tentative="1">
      <w:start w:val="1"/>
      <w:numFmt w:val="bullet"/>
      <w:lvlText w:val=""/>
      <w:lvlJc w:val="left"/>
      <w:pPr>
        <w:ind w:left="4964" w:hanging="360"/>
      </w:pPr>
      <w:rPr>
        <w:rFonts w:ascii="Symbol" w:hAnsi="Symbol" w:hint="default"/>
      </w:rPr>
    </w:lvl>
    <w:lvl w:ilvl="7" w:tplc="041B0003" w:tentative="1">
      <w:start w:val="1"/>
      <w:numFmt w:val="bullet"/>
      <w:lvlText w:val="o"/>
      <w:lvlJc w:val="left"/>
      <w:pPr>
        <w:ind w:left="5684" w:hanging="360"/>
      </w:pPr>
      <w:rPr>
        <w:rFonts w:ascii="Courier New" w:hAnsi="Courier New" w:cs="Courier New" w:hint="default"/>
      </w:rPr>
    </w:lvl>
    <w:lvl w:ilvl="8" w:tplc="041B0005" w:tentative="1">
      <w:start w:val="1"/>
      <w:numFmt w:val="bullet"/>
      <w:lvlText w:val=""/>
      <w:lvlJc w:val="left"/>
      <w:pPr>
        <w:ind w:left="6404" w:hanging="360"/>
      </w:pPr>
      <w:rPr>
        <w:rFonts w:ascii="Wingdings" w:hAnsi="Wingdings" w:hint="default"/>
      </w:rPr>
    </w:lvl>
  </w:abstractNum>
  <w:abstractNum w:abstractNumId="16" w15:restartNumberingAfterBreak="0">
    <w:nsid w:val="66B90C15"/>
    <w:multiLevelType w:val="hybridMultilevel"/>
    <w:tmpl w:val="8CF664CE"/>
    <w:lvl w:ilvl="0" w:tplc="0A1C2A48">
      <w:start w:val="1"/>
      <w:numFmt w:val="bullet"/>
      <w:lvlText w:val="-"/>
      <w:lvlJc w:val="left"/>
      <w:pPr>
        <w:ind w:left="1080" w:hanging="360"/>
      </w:pPr>
      <w:rPr>
        <w:rFonts w:ascii="Calibri" w:eastAsia="Times New Roman" w:hAnsi="Calibri" w:hint="default"/>
      </w:rPr>
    </w:lvl>
    <w:lvl w:ilvl="1" w:tplc="041B0003">
      <w:start w:val="1"/>
      <w:numFmt w:val="bullet"/>
      <w:lvlText w:val="o"/>
      <w:lvlJc w:val="left"/>
      <w:pPr>
        <w:ind w:left="1800" w:hanging="360"/>
      </w:pPr>
      <w:rPr>
        <w:rFonts w:ascii="Courier New" w:hAnsi="Courier New" w:hint="default"/>
      </w:rPr>
    </w:lvl>
    <w:lvl w:ilvl="2" w:tplc="041B0005">
      <w:start w:val="1"/>
      <w:numFmt w:val="bullet"/>
      <w:lvlText w:val=""/>
      <w:lvlJc w:val="left"/>
      <w:pPr>
        <w:ind w:left="2520" w:hanging="360"/>
      </w:pPr>
      <w:rPr>
        <w:rFonts w:ascii="Wingdings" w:hAnsi="Wingdings" w:hint="default"/>
      </w:rPr>
    </w:lvl>
    <w:lvl w:ilvl="3" w:tplc="041B0001">
      <w:start w:val="1"/>
      <w:numFmt w:val="bullet"/>
      <w:lvlText w:val=""/>
      <w:lvlJc w:val="left"/>
      <w:pPr>
        <w:ind w:left="3240" w:hanging="360"/>
      </w:pPr>
      <w:rPr>
        <w:rFonts w:ascii="Symbol" w:hAnsi="Symbol" w:hint="default"/>
      </w:rPr>
    </w:lvl>
    <w:lvl w:ilvl="4" w:tplc="041B0003">
      <w:start w:val="1"/>
      <w:numFmt w:val="bullet"/>
      <w:lvlText w:val="o"/>
      <w:lvlJc w:val="left"/>
      <w:pPr>
        <w:ind w:left="3960" w:hanging="360"/>
      </w:pPr>
      <w:rPr>
        <w:rFonts w:ascii="Courier New" w:hAnsi="Courier New" w:hint="default"/>
      </w:rPr>
    </w:lvl>
    <w:lvl w:ilvl="5" w:tplc="041B0005">
      <w:start w:val="1"/>
      <w:numFmt w:val="bullet"/>
      <w:lvlText w:val=""/>
      <w:lvlJc w:val="left"/>
      <w:pPr>
        <w:ind w:left="4680" w:hanging="360"/>
      </w:pPr>
      <w:rPr>
        <w:rFonts w:ascii="Wingdings" w:hAnsi="Wingdings" w:hint="default"/>
      </w:rPr>
    </w:lvl>
    <w:lvl w:ilvl="6" w:tplc="041B0001">
      <w:start w:val="1"/>
      <w:numFmt w:val="bullet"/>
      <w:lvlText w:val=""/>
      <w:lvlJc w:val="left"/>
      <w:pPr>
        <w:ind w:left="5400" w:hanging="360"/>
      </w:pPr>
      <w:rPr>
        <w:rFonts w:ascii="Symbol" w:hAnsi="Symbol" w:hint="default"/>
      </w:rPr>
    </w:lvl>
    <w:lvl w:ilvl="7" w:tplc="041B0003">
      <w:start w:val="1"/>
      <w:numFmt w:val="bullet"/>
      <w:lvlText w:val="o"/>
      <w:lvlJc w:val="left"/>
      <w:pPr>
        <w:ind w:left="6120" w:hanging="360"/>
      </w:pPr>
      <w:rPr>
        <w:rFonts w:ascii="Courier New" w:hAnsi="Courier New" w:hint="default"/>
      </w:rPr>
    </w:lvl>
    <w:lvl w:ilvl="8" w:tplc="041B0005">
      <w:start w:val="1"/>
      <w:numFmt w:val="bullet"/>
      <w:lvlText w:val=""/>
      <w:lvlJc w:val="left"/>
      <w:pPr>
        <w:ind w:left="6840" w:hanging="360"/>
      </w:pPr>
      <w:rPr>
        <w:rFonts w:ascii="Wingdings" w:hAnsi="Wingdings" w:hint="default"/>
      </w:rPr>
    </w:lvl>
  </w:abstractNum>
  <w:abstractNum w:abstractNumId="17" w15:restartNumberingAfterBreak="0">
    <w:nsid w:val="709F44DB"/>
    <w:multiLevelType w:val="hybridMultilevel"/>
    <w:tmpl w:val="70865E28"/>
    <w:lvl w:ilvl="0" w:tplc="041B0001">
      <w:start w:val="1"/>
      <w:numFmt w:val="bullet"/>
      <w:lvlText w:val=""/>
      <w:lvlJc w:val="left"/>
      <w:pPr>
        <w:ind w:left="2073" w:hanging="360"/>
      </w:pPr>
      <w:rPr>
        <w:rFonts w:ascii="Symbol" w:hAnsi="Symbol" w:hint="default"/>
      </w:rPr>
    </w:lvl>
    <w:lvl w:ilvl="1" w:tplc="041B0003" w:tentative="1">
      <w:start w:val="1"/>
      <w:numFmt w:val="bullet"/>
      <w:lvlText w:val="o"/>
      <w:lvlJc w:val="left"/>
      <w:pPr>
        <w:ind w:left="2793" w:hanging="360"/>
      </w:pPr>
      <w:rPr>
        <w:rFonts w:ascii="Courier New" w:hAnsi="Courier New" w:cs="Courier New" w:hint="default"/>
      </w:rPr>
    </w:lvl>
    <w:lvl w:ilvl="2" w:tplc="041B0005" w:tentative="1">
      <w:start w:val="1"/>
      <w:numFmt w:val="bullet"/>
      <w:lvlText w:val=""/>
      <w:lvlJc w:val="left"/>
      <w:pPr>
        <w:ind w:left="3513" w:hanging="360"/>
      </w:pPr>
      <w:rPr>
        <w:rFonts w:ascii="Wingdings" w:hAnsi="Wingdings" w:hint="default"/>
      </w:rPr>
    </w:lvl>
    <w:lvl w:ilvl="3" w:tplc="041B0001" w:tentative="1">
      <w:start w:val="1"/>
      <w:numFmt w:val="bullet"/>
      <w:lvlText w:val=""/>
      <w:lvlJc w:val="left"/>
      <w:pPr>
        <w:ind w:left="4233" w:hanging="360"/>
      </w:pPr>
      <w:rPr>
        <w:rFonts w:ascii="Symbol" w:hAnsi="Symbol" w:hint="default"/>
      </w:rPr>
    </w:lvl>
    <w:lvl w:ilvl="4" w:tplc="041B0003" w:tentative="1">
      <w:start w:val="1"/>
      <w:numFmt w:val="bullet"/>
      <w:lvlText w:val="o"/>
      <w:lvlJc w:val="left"/>
      <w:pPr>
        <w:ind w:left="4953" w:hanging="360"/>
      </w:pPr>
      <w:rPr>
        <w:rFonts w:ascii="Courier New" w:hAnsi="Courier New" w:cs="Courier New" w:hint="default"/>
      </w:rPr>
    </w:lvl>
    <w:lvl w:ilvl="5" w:tplc="041B0005" w:tentative="1">
      <w:start w:val="1"/>
      <w:numFmt w:val="bullet"/>
      <w:lvlText w:val=""/>
      <w:lvlJc w:val="left"/>
      <w:pPr>
        <w:ind w:left="5673" w:hanging="360"/>
      </w:pPr>
      <w:rPr>
        <w:rFonts w:ascii="Wingdings" w:hAnsi="Wingdings" w:hint="default"/>
      </w:rPr>
    </w:lvl>
    <w:lvl w:ilvl="6" w:tplc="041B0001" w:tentative="1">
      <w:start w:val="1"/>
      <w:numFmt w:val="bullet"/>
      <w:lvlText w:val=""/>
      <w:lvlJc w:val="left"/>
      <w:pPr>
        <w:ind w:left="6393" w:hanging="360"/>
      </w:pPr>
      <w:rPr>
        <w:rFonts w:ascii="Symbol" w:hAnsi="Symbol" w:hint="default"/>
      </w:rPr>
    </w:lvl>
    <w:lvl w:ilvl="7" w:tplc="041B0003" w:tentative="1">
      <w:start w:val="1"/>
      <w:numFmt w:val="bullet"/>
      <w:lvlText w:val="o"/>
      <w:lvlJc w:val="left"/>
      <w:pPr>
        <w:ind w:left="7113" w:hanging="360"/>
      </w:pPr>
      <w:rPr>
        <w:rFonts w:ascii="Courier New" w:hAnsi="Courier New" w:cs="Courier New" w:hint="default"/>
      </w:rPr>
    </w:lvl>
    <w:lvl w:ilvl="8" w:tplc="041B0005" w:tentative="1">
      <w:start w:val="1"/>
      <w:numFmt w:val="bullet"/>
      <w:lvlText w:val=""/>
      <w:lvlJc w:val="left"/>
      <w:pPr>
        <w:ind w:left="7833" w:hanging="360"/>
      </w:pPr>
      <w:rPr>
        <w:rFonts w:ascii="Wingdings" w:hAnsi="Wingdings" w:hint="default"/>
      </w:rPr>
    </w:lvl>
  </w:abstractNum>
  <w:abstractNum w:abstractNumId="18" w15:restartNumberingAfterBreak="0">
    <w:nsid w:val="79DA7821"/>
    <w:multiLevelType w:val="hybridMultilevel"/>
    <w:tmpl w:val="D6C03D1A"/>
    <w:lvl w:ilvl="0" w:tplc="041B0001">
      <w:start w:val="1"/>
      <w:numFmt w:val="bullet"/>
      <w:lvlText w:val=""/>
      <w:lvlJc w:val="left"/>
      <w:pPr>
        <w:ind w:left="1353" w:hanging="360"/>
      </w:pPr>
      <w:rPr>
        <w:rFonts w:ascii="Symbol" w:hAnsi="Symbol" w:hint="default"/>
      </w:rPr>
    </w:lvl>
    <w:lvl w:ilvl="1" w:tplc="041B0003" w:tentative="1">
      <w:start w:val="1"/>
      <w:numFmt w:val="bullet"/>
      <w:lvlText w:val="o"/>
      <w:lvlJc w:val="left"/>
      <w:pPr>
        <w:ind w:left="2073" w:hanging="360"/>
      </w:pPr>
      <w:rPr>
        <w:rFonts w:ascii="Courier New" w:hAnsi="Courier New" w:cs="Courier New" w:hint="default"/>
      </w:rPr>
    </w:lvl>
    <w:lvl w:ilvl="2" w:tplc="041B0005" w:tentative="1">
      <w:start w:val="1"/>
      <w:numFmt w:val="bullet"/>
      <w:lvlText w:val=""/>
      <w:lvlJc w:val="left"/>
      <w:pPr>
        <w:ind w:left="2793" w:hanging="360"/>
      </w:pPr>
      <w:rPr>
        <w:rFonts w:ascii="Wingdings" w:hAnsi="Wingdings" w:hint="default"/>
      </w:rPr>
    </w:lvl>
    <w:lvl w:ilvl="3" w:tplc="041B0001" w:tentative="1">
      <w:start w:val="1"/>
      <w:numFmt w:val="bullet"/>
      <w:lvlText w:val=""/>
      <w:lvlJc w:val="left"/>
      <w:pPr>
        <w:ind w:left="3513" w:hanging="360"/>
      </w:pPr>
      <w:rPr>
        <w:rFonts w:ascii="Symbol" w:hAnsi="Symbol" w:hint="default"/>
      </w:rPr>
    </w:lvl>
    <w:lvl w:ilvl="4" w:tplc="041B0003" w:tentative="1">
      <w:start w:val="1"/>
      <w:numFmt w:val="bullet"/>
      <w:lvlText w:val="o"/>
      <w:lvlJc w:val="left"/>
      <w:pPr>
        <w:ind w:left="4233" w:hanging="360"/>
      </w:pPr>
      <w:rPr>
        <w:rFonts w:ascii="Courier New" w:hAnsi="Courier New" w:cs="Courier New" w:hint="default"/>
      </w:rPr>
    </w:lvl>
    <w:lvl w:ilvl="5" w:tplc="041B0005" w:tentative="1">
      <w:start w:val="1"/>
      <w:numFmt w:val="bullet"/>
      <w:lvlText w:val=""/>
      <w:lvlJc w:val="left"/>
      <w:pPr>
        <w:ind w:left="4953" w:hanging="360"/>
      </w:pPr>
      <w:rPr>
        <w:rFonts w:ascii="Wingdings" w:hAnsi="Wingdings" w:hint="default"/>
      </w:rPr>
    </w:lvl>
    <w:lvl w:ilvl="6" w:tplc="041B0001" w:tentative="1">
      <w:start w:val="1"/>
      <w:numFmt w:val="bullet"/>
      <w:lvlText w:val=""/>
      <w:lvlJc w:val="left"/>
      <w:pPr>
        <w:ind w:left="5673" w:hanging="360"/>
      </w:pPr>
      <w:rPr>
        <w:rFonts w:ascii="Symbol" w:hAnsi="Symbol" w:hint="default"/>
      </w:rPr>
    </w:lvl>
    <w:lvl w:ilvl="7" w:tplc="041B0003" w:tentative="1">
      <w:start w:val="1"/>
      <w:numFmt w:val="bullet"/>
      <w:lvlText w:val="o"/>
      <w:lvlJc w:val="left"/>
      <w:pPr>
        <w:ind w:left="6393" w:hanging="360"/>
      </w:pPr>
      <w:rPr>
        <w:rFonts w:ascii="Courier New" w:hAnsi="Courier New" w:cs="Courier New" w:hint="default"/>
      </w:rPr>
    </w:lvl>
    <w:lvl w:ilvl="8" w:tplc="041B0005" w:tentative="1">
      <w:start w:val="1"/>
      <w:numFmt w:val="bullet"/>
      <w:lvlText w:val=""/>
      <w:lvlJc w:val="left"/>
      <w:pPr>
        <w:ind w:left="7113" w:hanging="360"/>
      </w:pPr>
      <w:rPr>
        <w:rFonts w:ascii="Wingdings" w:hAnsi="Wingdings" w:hint="default"/>
      </w:rPr>
    </w:lvl>
  </w:abstractNum>
  <w:num w:numId="1">
    <w:abstractNumId w:val="3"/>
  </w:num>
  <w:num w:numId="2">
    <w:abstractNumId w:val="16"/>
  </w:num>
  <w:num w:numId="3">
    <w:abstractNumId w:val="4"/>
  </w:num>
  <w:num w:numId="4">
    <w:abstractNumId w:val="0"/>
  </w:num>
  <w:num w:numId="5">
    <w:abstractNumId w:val="8"/>
  </w:num>
  <w:num w:numId="6">
    <w:abstractNumId w:val="7"/>
  </w:num>
  <w:num w:numId="7">
    <w:abstractNumId w:val="12"/>
  </w:num>
  <w:num w:numId="8">
    <w:abstractNumId w:val="11"/>
  </w:num>
  <w:num w:numId="9">
    <w:abstractNumId w:val="13"/>
  </w:num>
  <w:num w:numId="10">
    <w:abstractNumId w:val="1"/>
  </w:num>
  <w:num w:numId="11">
    <w:abstractNumId w:val="5"/>
  </w:num>
  <w:num w:numId="12">
    <w:abstractNumId w:val="17"/>
  </w:num>
  <w:num w:numId="13">
    <w:abstractNumId w:val="9"/>
  </w:num>
  <w:num w:numId="14">
    <w:abstractNumId w:val="15"/>
  </w:num>
  <w:num w:numId="15">
    <w:abstractNumId w:val="18"/>
  </w:num>
  <w:num w:numId="16">
    <w:abstractNumId w:val="2"/>
  </w:num>
  <w:num w:numId="17">
    <w:abstractNumId w:val="14"/>
  </w:num>
  <w:num w:numId="18">
    <w:abstractNumId w:val="6"/>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E5F"/>
    <w:rsid w:val="0000226D"/>
    <w:rsid w:val="00003977"/>
    <w:rsid w:val="00012DAD"/>
    <w:rsid w:val="00012F2D"/>
    <w:rsid w:val="00015EAA"/>
    <w:rsid w:val="000179DF"/>
    <w:rsid w:val="00026303"/>
    <w:rsid w:val="0002653A"/>
    <w:rsid w:val="000266E4"/>
    <w:rsid w:val="000361BF"/>
    <w:rsid w:val="00040A27"/>
    <w:rsid w:val="0004349F"/>
    <w:rsid w:val="00052F04"/>
    <w:rsid w:val="000552BA"/>
    <w:rsid w:val="000600F8"/>
    <w:rsid w:val="00061109"/>
    <w:rsid w:val="00072067"/>
    <w:rsid w:val="00075C42"/>
    <w:rsid w:val="00084AED"/>
    <w:rsid w:val="00084E57"/>
    <w:rsid w:val="00093306"/>
    <w:rsid w:val="000A0686"/>
    <w:rsid w:val="000A27CE"/>
    <w:rsid w:val="000A72CE"/>
    <w:rsid w:val="000B761F"/>
    <w:rsid w:val="000C01FB"/>
    <w:rsid w:val="000C559A"/>
    <w:rsid w:val="000D40E6"/>
    <w:rsid w:val="000E69C7"/>
    <w:rsid w:val="000F247A"/>
    <w:rsid w:val="000F7268"/>
    <w:rsid w:val="00104B25"/>
    <w:rsid w:val="00107A9B"/>
    <w:rsid w:val="00110F1B"/>
    <w:rsid w:val="001213CF"/>
    <w:rsid w:val="00121A17"/>
    <w:rsid w:val="0012622B"/>
    <w:rsid w:val="001266DD"/>
    <w:rsid w:val="00127496"/>
    <w:rsid w:val="00134B8F"/>
    <w:rsid w:val="00150FE7"/>
    <w:rsid w:val="001645D0"/>
    <w:rsid w:val="00170680"/>
    <w:rsid w:val="001738C6"/>
    <w:rsid w:val="00176806"/>
    <w:rsid w:val="00185D07"/>
    <w:rsid w:val="0018762D"/>
    <w:rsid w:val="00190E4F"/>
    <w:rsid w:val="00191336"/>
    <w:rsid w:val="00197E5D"/>
    <w:rsid w:val="001A2387"/>
    <w:rsid w:val="001A6397"/>
    <w:rsid w:val="001B22A1"/>
    <w:rsid w:val="001C2EFF"/>
    <w:rsid w:val="001C3E40"/>
    <w:rsid w:val="001E043E"/>
    <w:rsid w:val="001E0812"/>
    <w:rsid w:val="001E2171"/>
    <w:rsid w:val="001E4E5E"/>
    <w:rsid w:val="001E67F0"/>
    <w:rsid w:val="001F3519"/>
    <w:rsid w:val="00202F4D"/>
    <w:rsid w:val="00212287"/>
    <w:rsid w:val="002144EE"/>
    <w:rsid w:val="00217FF4"/>
    <w:rsid w:val="00227ABF"/>
    <w:rsid w:val="00241BDE"/>
    <w:rsid w:val="00242649"/>
    <w:rsid w:val="00243696"/>
    <w:rsid w:val="0026192F"/>
    <w:rsid w:val="00266B42"/>
    <w:rsid w:val="00282DF9"/>
    <w:rsid w:val="002959F5"/>
    <w:rsid w:val="00297D5F"/>
    <w:rsid w:val="002A67E7"/>
    <w:rsid w:val="002A68BA"/>
    <w:rsid w:val="002A7BED"/>
    <w:rsid w:val="002B337D"/>
    <w:rsid w:val="002C435B"/>
    <w:rsid w:val="002D066A"/>
    <w:rsid w:val="002D3272"/>
    <w:rsid w:val="002D338F"/>
    <w:rsid w:val="002D3568"/>
    <w:rsid w:val="002E0069"/>
    <w:rsid w:val="002E3B11"/>
    <w:rsid w:val="002E5572"/>
    <w:rsid w:val="002F27E3"/>
    <w:rsid w:val="0030624E"/>
    <w:rsid w:val="00311AA7"/>
    <w:rsid w:val="003125DA"/>
    <w:rsid w:val="003153D5"/>
    <w:rsid w:val="00320252"/>
    <w:rsid w:val="00323B86"/>
    <w:rsid w:val="00333E04"/>
    <w:rsid w:val="00337886"/>
    <w:rsid w:val="0034075A"/>
    <w:rsid w:val="00351D45"/>
    <w:rsid w:val="00352E65"/>
    <w:rsid w:val="00361078"/>
    <w:rsid w:val="0036477B"/>
    <w:rsid w:val="0036704B"/>
    <w:rsid w:val="003673CF"/>
    <w:rsid w:val="00375EF0"/>
    <w:rsid w:val="00392821"/>
    <w:rsid w:val="00395DBA"/>
    <w:rsid w:val="003966C8"/>
    <w:rsid w:val="00396835"/>
    <w:rsid w:val="003A6DD9"/>
    <w:rsid w:val="003A7B9E"/>
    <w:rsid w:val="003B26B3"/>
    <w:rsid w:val="003B26FE"/>
    <w:rsid w:val="003B77A6"/>
    <w:rsid w:val="003C0E99"/>
    <w:rsid w:val="003C36CD"/>
    <w:rsid w:val="003D40FF"/>
    <w:rsid w:val="003E0704"/>
    <w:rsid w:val="003F2230"/>
    <w:rsid w:val="003F2CF6"/>
    <w:rsid w:val="003F652A"/>
    <w:rsid w:val="003F780D"/>
    <w:rsid w:val="0041103E"/>
    <w:rsid w:val="00411089"/>
    <w:rsid w:val="00421C28"/>
    <w:rsid w:val="0043308C"/>
    <w:rsid w:val="004367E4"/>
    <w:rsid w:val="0044061F"/>
    <w:rsid w:val="00444125"/>
    <w:rsid w:val="00445489"/>
    <w:rsid w:val="00451374"/>
    <w:rsid w:val="00465F0E"/>
    <w:rsid w:val="004665FA"/>
    <w:rsid w:val="004729B2"/>
    <w:rsid w:val="00473146"/>
    <w:rsid w:val="00473AF0"/>
    <w:rsid w:val="00474C72"/>
    <w:rsid w:val="004917FF"/>
    <w:rsid w:val="004A7F6B"/>
    <w:rsid w:val="004B2EB0"/>
    <w:rsid w:val="004B345B"/>
    <w:rsid w:val="004B5D76"/>
    <w:rsid w:val="004C601C"/>
    <w:rsid w:val="004D1E73"/>
    <w:rsid w:val="004D22E1"/>
    <w:rsid w:val="004D23A0"/>
    <w:rsid w:val="004D6271"/>
    <w:rsid w:val="004E5A83"/>
    <w:rsid w:val="004F2CCC"/>
    <w:rsid w:val="004F33E3"/>
    <w:rsid w:val="004F4483"/>
    <w:rsid w:val="004F7F98"/>
    <w:rsid w:val="005012FA"/>
    <w:rsid w:val="00503E0E"/>
    <w:rsid w:val="00516D7D"/>
    <w:rsid w:val="00533C86"/>
    <w:rsid w:val="0054331B"/>
    <w:rsid w:val="00544EAD"/>
    <w:rsid w:val="005500C1"/>
    <w:rsid w:val="0055447A"/>
    <w:rsid w:val="005547AC"/>
    <w:rsid w:val="00555494"/>
    <w:rsid w:val="005676CE"/>
    <w:rsid w:val="00582B30"/>
    <w:rsid w:val="005856B8"/>
    <w:rsid w:val="005A0662"/>
    <w:rsid w:val="005B7946"/>
    <w:rsid w:val="005C464A"/>
    <w:rsid w:val="005D082B"/>
    <w:rsid w:val="005D20B7"/>
    <w:rsid w:val="005D28C7"/>
    <w:rsid w:val="005D490B"/>
    <w:rsid w:val="005D51C2"/>
    <w:rsid w:val="005E3C70"/>
    <w:rsid w:val="006069B5"/>
    <w:rsid w:val="00607743"/>
    <w:rsid w:val="0061780D"/>
    <w:rsid w:val="006243D1"/>
    <w:rsid w:val="00624846"/>
    <w:rsid w:val="00626175"/>
    <w:rsid w:val="00647542"/>
    <w:rsid w:val="0065011D"/>
    <w:rsid w:val="0065502F"/>
    <w:rsid w:val="0065560C"/>
    <w:rsid w:val="00656282"/>
    <w:rsid w:val="00671785"/>
    <w:rsid w:val="0067502F"/>
    <w:rsid w:val="0067580C"/>
    <w:rsid w:val="00676F5D"/>
    <w:rsid w:val="00681310"/>
    <w:rsid w:val="006841A4"/>
    <w:rsid w:val="006846A4"/>
    <w:rsid w:val="0069015B"/>
    <w:rsid w:val="006A4705"/>
    <w:rsid w:val="006B424D"/>
    <w:rsid w:val="006B7D72"/>
    <w:rsid w:val="006C4503"/>
    <w:rsid w:val="006C5E53"/>
    <w:rsid w:val="006C62A0"/>
    <w:rsid w:val="006D3375"/>
    <w:rsid w:val="006F25D9"/>
    <w:rsid w:val="00710613"/>
    <w:rsid w:val="007156FC"/>
    <w:rsid w:val="00722454"/>
    <w:rsid w:val="00727EA2"/>
    <w:rsid w:val="007308BC"/>
    <w:rsid w:val="0073366F"/>
    <w:rsid w:val="00735251"/>
    <w:rsid w:val="00736DE3"/>
    <w:rsid w:val="00742C9A"/>
    <w:rsid w:val="007431B3"/>
    <w:rsid w:val="007431CE"/>
    <w:rsid w:val="007526F8"/>
    <w:rsid w:val="0075270D"/>
    <w:rsid w:val="00757EE0"/>
    <w:rsid w:val="00772775"/>
    <w:rsid w:val="0078319E"/>
    <w:rsid w:val="00784DAC"/>
    <w:rsid w:val="00785EC2"/>
    <w:rsid w:val="007963FB"/>
    <w:rsid w:val="007A2CC2"/>
    <w:rsid w:val="007A3CF5"/>
    <w:rsid w:val="007A6397"/>
    <w:rsid w:val="007B3E98"/>
    <w:rsid w:val="007B4CA8"/>
    <w:rsid w:val="007C039F"/>
    <w:rsid w:val="007C1DBC"/>
    <w:rsid w:val="007C415D"/>
    <w:rsid w:val="007D2059"/>
    <w:rsid w:val="007E34D4"/>
    <w:rsid w:val="007E36DE"/>
    <w:rsid w:val="007F1160"/>
    <w:rsid w:val="007F3983"/>
    <w:rsid w:val="00805041"/>
    <w:rsid w:val="008103BF"/>
    <w:rsid w:val="00812193"/>
    <w:rsid w:val="008141E2"/>
    <w:rsid w:val="00815679"/>
    <w:rsid w:val="00826453"/>
    <w:rsid w:val="00833A16"/>
    <w:rsid w:val="00856C55"/>
    <w:rsid w:val="00856F57"/>
    <w:rsid w:val="008666D7"/>
    <w:rsid w:val="0087084C"/>
    <w:rsid w:val="00880B95"/>
    <w:rsid w:val="00885B49"/>
    <w:rsid w:val="008920B2"/>
    <w:rsid w:val="00897C91"/>
    <w:rsid w:val="008A4CCF"/>
    <w:rsid w:val="008B270D"/>
    <w:rsid w:val="008B3545"/>
    <w:rsid w:val="008C3F48"/>
    <w:rsid w:val="008D0120"/>
    <w:rsid w:val="008D23F9"/>
    <w:rsid w:val="008D5002"/>
    <w:rsid w:val="008E3D27"/>
    <w:rsid w:val="008F27C2"/>
    <w:rsid w:val="008F693A"/>
    <w:rsid w:val="008F7AB3"/>
    <w:rsid w:val="00907EFB"/>
    <w:rsid w:val="00917399"/>
    <w:rsid w:val="0093593E"/>
    <w:rsid w:val="00941605"/>
    <w:rsid w:val="0094642C"/>
    <w:rsid w:val="00952617"/>
    <w:rsid w:val="00955CC4"/>
    <w:rsid w:val="00960BF5"/>
    <w:rsid w:val="00960C41"/>
    <w:rsid w:val="00962F5D"/>
    <w:rsid w:val="009663D0"/>
    <w:rsid w:val="009704E6"/>
    <w:rsid w:val="009800B8"/>
    <w:rsid w:val="00985709"/>
    <w:rsid w:val="00987E7A"/>
    <w:rsid w:val="009B248A"/>
    <w:rsid w:val="009C167D"/>
    <w:rsid w:val="009C2D88"/>
    <w:rsid w:val="009D3AA8"/>
    <w:rsid w:val="009E1A7B"/>
    <w:rsid w:val="009E3377"/>
    <w:rsid w:val="009F213C"/>
    <w:rsid w:val="009F5615"/>
    <w:rsid w:val="009F57E2"/>
    <w:rsid w:val="00A01AE5"/>
    <w:rsid w:val="00A111A0"/>
    <w:rsid w:val="00A158F4"/>
    <w:rsid w:val="00A2152B"/>
    <w:rsid w:val="00A32669"/>
    <w:rsid w:val="00A35A59"/>
    <w:rsid w:val="00A40EC1"/>
    <w:rsid w:val="00A50B7B"/>
    <w:rsid w:val="00A5748D"/>
    <w:rsid w:val="00A64DBF"/>
    <w:rsid w:val="00A66FEC"/>
    <w:rsid w:val="00A70D8D"/>
    <w:rsid w:val="00A75942"/>
    <w:rsid w:val="00A8016A"/>
    <w:rsid w:val="00A84544"/>
    <w:rsid w:val="00AA06B8"/>
    <w:rsid w:val="00AA4819"/>
    <w:rsid w:val="00AB3912"/>
    <w:rsid w:val="00AB5126"/>
    <w:rsid w:val="00AD6CB6"/>
    <w:rsid w:val="00AF735D"/>
    <w:rsid w:val="00B00CC1"/>
    <w:rsid w:val="00B01995"/>
    <w:rsid w:val="00B03B9E"/>
    <w:rsid w:val="00B06B9E"/>
    <w:rsid w:val="00B15406"/>
    <w:rsid w:val="00B209FA"/>
    <w:rsid w:val="00B262A0"/>
    <w:rsid w:val="00B400BF"/>
    <w:rsid w:val="00B407FA"/>
    <w:rsid w:val="00B50622"/>
    <w:rsid w:val="00B54E4A"/>
    <w:rsid w:val="00B54EB5"/>
    <w:rsid w:val="00B6493D"/>
    <w:rsid w:val="00B772EC"/>
    <w:rsid w:val="00B81A54"/>
    <w:rsid w:val="00BA3532"/>
    <w:rsid w:val="00BA4CDC"/>
    <w:rsid w:val="00BA679B"/>
    <w:rsid w:val="00BA6DE8"/>
    <w:rsid w:val="00BB29AD"/>
    <w:rsid w:val="00BB4CE5"/>
    <w:rsid w:val="00BB7B52"/>
    <w:rsid w:val="00BB7E0F"/>
    <w:rsid w:val="00BC06B1"/>
    <w:rsid w:val="00BC6C1F"/>
    <w:rsid w:val="00BC777D"/>
    <w:rsid w:val="00BD3F04"/>
    <w:rsid w:val="00BE2258"/>
    <w:rsid w:val="00BE4666"/>
    <w:rsid w:val="00BE6BEA"/>
    <w:rsid w:val="00BF0397"/>
    <w:rsid w:val="00BF3FA0"/>
    <w:rsid w:val="00BF786C"/>
    <w:rsid w:val="00BF7A4F"/>
    <w:rsid w:val="00C113F0"/>
    <w:rsid w:val="00C24124"/>
    <w:rsid w:val="00C55ED1"/>
    <w:rsid w:val="00C70D89"/>
    <w:rsid w:val="00C7198B"/>
    <w:rsid w:val="00C730AD"/>
    <w:rsid w:val="00C7629D"/>
    <w:rsid w:val="00C9420C"/>
    <w:rsid w:val="00CA3B75"/>
    <w:rsid w:val="00CA4A8E"/>
    <w:rsid w:val="00CC0F8A"/>
    <w:rsid w:val="00CC1D36"/>
    <w:rsid w:val="00CC2AF5"/>
    <w:rsid w:val="00CC4909"/>
    <w:rsid w:val="00CC67B6"/>
    <w:rsid w:val="00CC6B3B"/>
    <w:rsid w:val="00CD3138"/>
    <w:rsid w:val="00CE2358"/>
    <w:rsid w:val="00CE7229"/>
    <w:rsid w:val="00CF2CBF"/>
    <w:rsid w:val="00CF2F3D"/>
    <w:rsid w:val="00CF562F"/>
    <w:rsid w:val="00D00A57"/>
    <w:rsid w:val="00D23B17"/>
    <w:rsid w:val="00D42E23"/>
    <w:rsid w:val="00D44920"/>
    <w:rsid w:val="00D45904"/>
    <w:rsid w:val="00D543F9"/>
    <w:rsid w:val="00D55A5A"/>
    <w:rsid w:val="00D736AE"/>
    <w:rsid w:val="00D73CAC"/>
    <w:rsid w:val="00D76E74"/>
    <w:rsid w:val="00D8226D"/>
    <w:rsid w:val="00D8357E"/>
    <w:rsid w:val="00D84AA5"/>
    <w:rsid w:val="00D85CFC"/>
    <w:rsid w:val="00D85EB6"/>
    <w:rsid w:val="00D90E90"/>
    <w:rsid w:val="00D91FB3"/>
    <w:rsid w:val="00D932C8"/>
    <w:rsid w:val="00DA0F18"/>
    <w:rsid w:val="00DB5560"/>
    <w:rsid w:val="00DB7595"/>
    <w:rsid w:val="00DC3519"/>
    <w:rsid w:val="00DC6C78"/>
    <w:rsid w:val="00DD563A"/>
    <w:rsid w:val="00DE6D6D"/>
    <w:rsid w:val="00DE7E5F"/>
    <w:rsid w:val="00DF270E"/>
    <w:rsid w:val="00DF2B06"/>
    <w:rsid w:val="00DF770D"/>
    <w:rsid w:val="00E147B9"/>
    <w:rsid w:val="00E20383"/>
    <w:rsid w:val="00E218EF"/>
    <w:rsid w:val="00E24216"/>
    <w:rsid w:val="00E33713"/>
    <w:rsid w:val="00E3676E"/>
    <w:rsid w:val="00E42200"/>
    <w:rsid w:val="00E441C0"/>
    <w:rsid w:val="00E510AE"/>
    <w:rsid w:val="00E52439"/>
    <w:rsid w:val="00E57CF2"/>
    <w:rsid w:val="00E6162A"/>
    <w:rsid w:val="00E728EF"/>
    <w:rsid w:val="00E72E07"/>
    <w:rsid w:val="00E738F7"/>
    <w:rsid w:val="00E822A7"/>
    <w:rsid w:val="00E86FE8"/>
    <w:rsid w:val="00E874FD"/>
    <w:rsid w:val="00E911C8"/>
    <w:rsid w:val="00E956F9"/>
    <w:rsid w:val="00E97FEA"/>
    <w:rsid w:val="00EA2325"/>
    <w:rsid w:val="00EB34B1"/>
    <w:rsid w:val="00EB3831"/>
    <w:rsid w:val="00EC26A8"/>
    <w:rsid w:val="00ED45C6"/>
    <w:rsid w:val="00F0363B"/>
    <w:rsid w:val="00F1298D"/>
    <w:rsid w:val="00F132D9"/>
    <w:rsid w:val="00F1378A"/>
    <w:rsid w:val="00F150A3"/>
    <w:rsid w:val="00F15E11"/>
    <w:rsid w:val="00F24C5F"/>
    <w:rsid w:val="00F25C1D"/>
    <w:rsid w:val="00F37B9E"/>
    <w:rsid w:val="00F40065"/>
    <w:rsid w:val="00F42DA7"/>
    <w:rsid w:val="00F52A9A"/>
    <w:rsid w:val="00F55F66"/>
    <w:rsid w:val="00F61D73"/>
    <w:rsid w:val="00F662AB"/>
    <w:rsid w:val="00F74D19"/>
    <w:rsid w:val="00F752A2"/>
    <w:rsid w:val="00F7735C"/>
    <w:rsid w:val="00F77FBA"/>
    <w:rsid w:val="00F8726F"/>
    <w:rsid w:val="00F876CD"/>
    <w:rsid w:val="00F950E6"/>
    <w:rsid w:val="00F9545E"/>
    <w:rsid w:val="00F9747D"/>
    <w:rsid w:val="00F97B59"/>
    <w:rsid w:val="00FA2A42"/>
    <w:rsid w:val="00FB6492"/>
    <w:rsid w:val="00FC176F"/>
    <w:rsid w:val="00FC365C"/>
    <w:rsid w:val="00FD284F"/>
    <w:rsid w:val="00FE746D"/>
    <w:rsid w:val="00FF0C83"/>
    <w:rsid w:val="00FF259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oNotEmbedSmartTags/>
  <w:decimalSymbol w:val=","/>
  <w:listSeparator w:val=";"/>
  <w14:docId w14:val="1CF2C04C"/>
  <w15:docId w15:val="{06A5D13D-AEE3-4891-928D-07E1AABA1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D6CB6"/>
    <w:pPr>
      <w:spacing w:after="200" w:line="276" w:lineRule="auto"/>
    </w:pPr>
    <w:rPr>
      <w:rFonts w:eastAsia="Times New Roman" w:cs="Calibri"/>
      <w:sz w:val="22"/>
      <w:szCs w:val="22"/>
      <w:lang w:eastAsia="en-US"/>
    </w:rPr>
  </w:style>
  <w:style w:type="paragraph" w:styleId="Nadpis1">
    <w:name w:val="heading 1"/>
    <w:basedOn w:val="Normlny"/>
    <w:next w:val="Normlny"/>
    <w:link w:val="Nadpis1Char"/>
    <w:uiPriority w:val="9"/>
    <w:qFormat/>
    <w:rsid w:val="00CC1D36"/>
    <w:pPr>
      <w:keepNext/>
      <w:spacing w:before="240" w:after="60"/>
      <w:outlineLvl w:val="0"/>
    </w:pPr>
    <w:rPr>
      <w:rFonts w:ascii="Cambria" w:hAnsi="Cambria" w:cs="Times New Roman"/>
      <w:b/>
      <w:bCs/>
      <w:kern w:val="32"/>
      <w:sz w:val="32"/>
      <w:szCs w:val="32"/>
    </w:rPr>
  </w:style>
  <w:style w:type="paragraph" w:styleId="Nadpis2">
    <w:name w:val="heading 2"/>
    <w:basedOn w:val="Normlny"/>
    <w:next w:val="Normlny"/>
    <w:link w:val="Nadpis2Char"/>
    <w:uiPriority w:val="9"/>
    <w:semiHidden/>
    <w:unhideWhenUsed/>
    <w:qFormat/>
    <w:rsid w:val="000C559A"/>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Odsekzoznamu1">
    <w:name w:val="Odsek zoznamu1"/>
    <w:basedOn w:val="Normlny"/>
    <w:rsid w:val="003B77A6"/>
    <w:pPr>
      <w:ind w:left="720"/>
    </w:pPr>
  </w:style>
  <w:style w:type="paragraph" w:customStyle="1" w:styleId="ODRAZKY">
    <w:name w:val="ODRAZKY"/>
    <w:basedOn w:val="Normlny"/>
    <w:rsid w:val="00BB29AD"/>
    <w:pPr>
      <w:widowControl w:val="0"/>
      <w:numPr>
        <w:numId w:val="3"/>
      </w:numPr>
      <w:autoSpaceDE w:val="0"/>
      <w:autoSpaceDN w:val="0"/>
      <w:adjustRightInd w:val="0"/>
      <w:spacing w:before="40" w:after="40" w:line="240" w:lineRule="auto"/>
      <w:jc w:val="both"/>
    </w:pPr>
    <w:rPr>
      <w:rFonts w:ascii="Arial" w:eastAsia="Calibri" w:hAnsi="Arial" w:cs="Arial"/>
      <w:sz w:val="20"/>
      <w:szCs w:val="20"/>
      <w:lang w:eastAsia="sk-SK"/>
    </w:rPr>
  </w:style>
  <w:style w:type="paragraph" w:customStyle="1" w:styleId="ODSAD">
    <w:name w:val="ODSAD"/>
    <w:basedOn w:val="Normlny"/>
    <w:link w:val="ODSADChar"/>
    <w:rsid w:val="00F150A3"/>
    <w:pPr>
      <w:widowControl w:val="0"/>
      <w:tabs>
        <w:tab w:val="left" w:pos="567"/>
      </w:tabs>
      <w:autoSpaceDE w:val="0"/>
      <w:autoSpaceDN w:val="0"/>
      <w:adjustRightInd w:val="0"/>
      <w:spacing w:before="40" w:after="40" w:line="240" w:lineRule="auto"/>
      <w:ind w:left="567" w:hanging="567"/>
      <w:jc w:val="both"/>
    </w:pPr>
    <w:rPr>
      <w:rFonts w:ascii="Arial" w:eastAsia="Calibri" w:hAnsi="Arial" w:cs="Arial"/>
      <w:sz w:val="20"/>
      <w:szCs w:val="20"/>
      <w:lang w:eastAsia="sk-SK"/>
    </w:rPr>
  </w:style>
  <w:style w:type="character" w:customStyle="1" w:styleId="ODSADChar">
    <w:name w:val="ODSAD Char"/>
    <w:link w:val="ODSAD"/>
    <w:rsid w:val="00F150A3"/>
    <w:rPr>
      <w:rFonts w:ascii="Arial" w:hAnsi="Arial" w:cs="Arial"/>
      <w:sz w:val="20"/>
      <w:szCs w:val="20"/>
      <w:lang w:val="x-none" w:eastAsia="sk-SK"/>
    </w:rPr>
  </w:style>
  <w:style w:type="paragraph" w:customStyle="1" w:styleId="ODRAZKY2">
    <w:name w:val="ODRAZKY 2"/>
    <w:basedOn w:val="ODRAZKY"/>
    <w:rsid w:val="00833A16"/>
    <w:pPr>
      <w:numPr>
        <w:numId w:val="5"/>
      </w:numPr>
      <w:tabs>
        <w:tab w:val="num" w:pos="1134"/>
      </w:tabs>
      <w:ind w:left="1134"/>
    </w:pPr>
  </w:style>
  <w:style w:type="table" w:styleId="Mriekatabuky">
    <w:name w:val="Table Grid"/>
    <w:basedOn w:val="Normlnatabuka"/>
    <w:uiPriority w:val="59"/>
    <w:rsid w:val="004C60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link w:val="Nadpis1"/>
    <w:uiPriority w:val="9"/>
    <w:rsid w:val="00CC1D36"/>
    <w:rPr>
      <w:rFonts w:ascii="Cambria" w:eastAsia="Times New Roman" w:hAnsi="Cambria" w:cs="Times New Roman"/>
      <w:b/>
      <w:bCs/>
      <w:kern w:val="32"/>
      <w:sz w:val="32"/>
      <w:szCs w:val="32"/>
      <w:lang w:eastAsia="en-US"/>
    </w:rPr>
  </w:style>
  <w:style w:type="paragraph" w:styleId="Hlavikaobsahu">
    <w:name w:val="TOC Heading"/>
    <w:basedOn w:val="Nadpis1"/>
    <w:next w:val="Normlny"/>
    <w:uiPriority w:val="39"/>
    <w:semiHidden/>
    <w:unhideWhenUsed/>
    <w:qFormat/>
    <w:rsid w:val="00CC1D36"/>
    <w:pPr>
      <w:keepLines/>
      <w:spacing w:before="480" w:after="0"/>
      <w:outlineLvl w:val="9"/>
    </w:pPr>
    <w:rPr>
      <w:color w:val="365F91"/>
      <w:kern w:val="0"/>
      <w:sz w:val="28"/>
      <w:szCs w:val="28"/>
      <w:lang w:eastAsia="sk-SK"/>
    </w:rPr>
  </w:style>
  <w:style w:type="paragraph" w:styleId="Hlavika">
    <w:name w:val="header"/>
    <w:basedOn w:val="Normlny"/>
    <w:link w:val="HlavikaChar"/>
    <w:uiPriority w:val="99"/>
    <w:unhideWhenUsed/>
    <w:rsid w:val="00CC1D36"/>
    <w:pPr>
      <w:tabs>
        <w:tab w:val="center" w:pos="4536"/>
        <w:tab w:val="right" w:pos="9072"/>
      </w:tabs>
    </w:pPr>
  </w:style>
  <w:style w:type="character" w:customStyle="1" w:styleId="HlavikaChar">
    <w:name w:val="Hlavička Char"/>
    <w:link w:val="Hlavika"/>
    <w:uiPriority w:val="99"/>
    <w:rsid w:val="00CC1D36"/>
    <w:rPr>
      <w:rFonts w:eastAsia="Times New Roman" w:cs="Calibri"/>
      <w:sz w:val="22"/>
      <w:szCs w:val="22"/>
      <w:lang w:eastAsia="en-US"/>
    </w:rPr>
  </w:style>
  <w:style w:type="paragraph" w:styleId="Pta">
    <w:name w:val="footer"/>
    <w:basedOn w:val="Normlny"/>
    <w:link w:val="PtaChar"/>
    <w:uiPriority w:val="99"/>
    <w:unhideWhenUsed/>
    <w:rsid w:val="00CC1D36"/>
    <w:pPr>
      <w:tabs>
        <w:tab w:val="center" w:pos="4536"/>
        <w:tab w:val="right" w:pos="9072"/>
      </w:tabs>
    </w:pPr>
  </w:style>
  <w:style w:type="character" w:customStyle="1" w:styleId="PtaChar">
    <w:name w:val="Päta Char"/>
    <w:link w:val="Pta"/>
    <w:uiPriority w:val="99"/>
    <w:rsid w:val="00CC1D36"/>
    <w:rPr>
      <w:rFonts w:eastAsia="Times New Roman" w:cs="Calibri"/>
      <w:sz w:val="22"/>
      <w:szCs w:val="22"/>
      <w:lang w:eastAsia="en-US"/>
    </w:rPr>
  </w:style>
  <w:style w:type="paragraph" w:styleId="Nzov">
    <w:name w:val="Title"/>
    <w:basedOn w:val="Normlny"/>
    <w:next w:val="Normlny"/>
    <w:link w:val="NzovChar"/>
    <w:uiPriority w:val="10"/>
    <w:qFormat/>
    <w:rsid w:val="00CC1D36"/>
    <w:pPr>
      <w:spacing w:before="240" w:after="60"/>
      <w:jc w:val="center"/>
      <w:outlineLvl w:val="0"/>
    </w:pPr>
    <w:rPr>
      <w:rFonts w:ascii="Cambria" w:hAnsi="Cambria" w:cs="Times New Roman"/>
      <w:b/>
      <w:bCs/>
      <w:kern w:val="28"/>
      <w:sz w:val="32"/>
      <w:szCs w:val="32"/>
    </w:rPr>
  </w:style>
  <w:style w:type="character" w:customStyle="1" w:styleId="NzovChar">
    <w:name w:val="Názov Char"/>
    <w:link w:val="Nzov"/>
    <w:uiPriority w:val="10"/>
    <w:rsid w:val="00CC1D36"/>
    <w:rPr>
      <w:rFonts w:ascii="Cambria" w:eastAsia="Times New Roman" w:hAnsi="Cambria" w:cs="Times New Roman"/>
      <w:b/>
      <w:bCs/>
      <w:kern w:val="28"/>
      <w:sz w:val="32"/>
      <w:szCs w:val="32"/>
      <w:lang w:eastAsia="en-US"/>
    </w:rPr>
  </w:style>
  <w:style w:type="paragraph" w:styleId="Obsah1">
    <w:name w:val="toc 1"/>
    <w:basedOn w:val="Normlny"/>
    <w:next w:val="Normlny"/>
    <w:autoRedefine/>
    <w:uiPriority w:val="39"/>
    <w:unhideWhenUsed/>
    <w:rsid w:val="003F652A"/>
    <w:pPr>
      <w:tabs>
        <w:tab w:val="left" w:pos="709"/>
        <w:tab w:val="right" w:leader="dot" w:pos="8778"/>
      </w:tabs>
      <w:ind w:left="709" w:hanging="709"/>
    </w:pPr>
  </w:style>
  <w:style w:type="character" w:styleId="Hypertextovprepojenie">
    <w:name w:val="Hyperlink"/>
    <w:uiPriority w:val="99"/>
    <w:unhideWhenUsed/>
    <w:rsid w:val="00E874FD"/>
    <w:rPr>
      <w:color w:val="0000FF"/>
      <w:u w:val="single"/>
    </w:rPr>
  </w:style>
  <w:style w:type="paragraph" w:styleId="Textbubliny">
    <w:name w:val="Balloon Text"/>
    <w:basedOn w:val="Normlny"/>
    <w:link w:val="TextbublinyChar"/>
    <w:uiPriority w:val="99"/>
    <w:semiHidden/>
    <w:unhideWhenUsed/>
    <w:rsid w:val="00B407FA"/>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B407FA"/>
    <w:rPr>
      <w:rFonts w:ascii="Segoe UI" w:eastAsia="Times New Roman" w:hAnsi="Segoe UI" w:cs="Segoe UI"/>
      <w:sz w:val="18"/>
      <w:szCs w:val="18"/>
      <w:lang w:eastAsia="en-US"/>
    </w:rPr>
  </w:style>
  <w:style w:type="paragraph" w:customStyle="1" w:styleId="Odsekzoznamu2">
    <w:name w:val="Odsek zoznamu2"/>
    <w:basedOn w:val="Normlny"/>
    <w:rsid w:val="003E0704"/>
    <w:pPr>
      <w:ind w:left="720"/>
    </w:pPr>
  </w:style>
  <w:style w:type="paragraph" w:styleId="Zkladntext">
    <w:name w:val="Body Text"/>
    <w:basedOn w:val="Normlny"/>
    <w:link w:val="ZkladntextChar"/>
    <w:rsid w:val="008103BF"/>
    <w:pPr>
      <w:spacing w:after="0" w:line="240" w:lineRule="auto"/>
      <w:ind w:left="426"/>
      <w:jc w:val="both"/>
    </w:pPr>
    <w:rPr>
      <w:rFonts w:ascii="Times New Roman" w:hAnsi="Times New Roman" w:cs="Times New Roman"/>
      <w:sz w:val="18"/>
      <w:szCs w:val="20"/>
    </w:rPr>
  </w:style>
  <w:style w:type="character" w:customStyle="1" w:styleId="ZkladntextChar">
    <w:name w:val="Základný text Char"/>
    <w:basedOn w:val="Predvolenpsmoodseku"/>
    <w:link w:val="Zkladntext"/>
    <w:rsid w:val="008103BF"/>
    <w:rPr>
      <w:rFonts w:ascii="Times New Roman" w:eastAsia="Times New Roman" w:hAnsi="Times New Roman"/>
      <w:sz w:val="18"/>
      <w:lang w:eastAsia="en-US"/>
    </w:rPr>
  </w:style>
  <w:style w:type="paragraph" w:styleId="Odsekzoznamu">
    <w:name w:val="List Paragraph"/>
    <w:basedOn w:val="Normlny"/>
    <w:uiPriority w:val="34"/>
    <w:qFormat/>
    <w:rsid w:val="00BF3FA0"/>
    <w:pPr>
      <w:ind w:left="720"/>
      <w:contextualSpacing/>
    </w:pPr>
  </w:style>
  <w:style w:type="character" w:customStyle="1" w:styleId="Nadpis2Char">
    <w:name w:val="Nadpis 2 Char"/>
    <w:basedOn w:val="Predvolenpsmoodseku"/>
    <w:link w:val="Nadpis2"/>
    <w:uiPriority w:val="9"/>
    <w:semiHidden/>
    <w:rsid w:val="000C559A"/>
    <w:rPr>
      <w:rFonts w:asciiTheme="majorHAnsi" w:eastAsiaTheme="majorEastAsia" w:hAnsiTheme="majorHAnsi" w:cstheme="majorBidi"/>
      <w:b/>
      <w:bCs/>
      <w:color w:val="5B9BD5" w:themeColor="accent1"/>
      <w:sz w:val="26"/>
      <w:szCs w:val="26"/>
      <w:lang w:eastAsia="en-US"/>
    </w:rPr>
  </w:style>
  <w:style w:type="character" w:styleId="Odkaznakomentr">
    <w:name w:val="annotation reference"/>
    <w:basedOn w:val="Predvolenpsmoodseku"/>
    <w:uiPriority w:val="99"/>
    <w:semiHidden/>
    <w:unhideWhenUsed/>
    <w:rsid w:val="00E822A7"/>
    <w:rPr>
      <w:sz w:val="16"/>
      <w:szCs w:val="16"/>
    </w:rPr>
  </w:style>
  <w:style w:type="paragraph" w:styleId="Textkomentra">
    <w:name w:val="annotation text"/>
    <w:basedOn w:val="Normlny"/>
    <w:link w:val="TextkomentraChar"/>
    <w:uiPriority w:val="99"/>
    <w:semiHidden/>
    <w:unhideWhenUsed/>
    <w:rsid w:val="00E822A7"/>
    <w:pPr>
      <w:spacing w:line="240" w:lineRule="auto"/>
    </w:pPr>
    <w:rPr>
      <w:sz w:val="20"/>
      <w:szCs w:val="20"/>
    </w:rPr>
  </w:style>
  <w:style w:type="character" w:customStyle="1" w:styleId="TextkomentraChar">
    <w:name w:val="Text komentára Char"/>
    <w:basedOn w:val="Predvolenpsmoodseku"/>
    <w:link w:val="Textkomentra"/>
    <w:uiPriority w:val="99"/>
    <w:semiHidden/>
    <w:rsid w:val="00E822A7"/>
    <w:rPr>
      <w:rFonts w:eastAsia="Times New Roman" w:cs="Calibri"/>
      <w:lang w:eastAsia="en-US"/>
    </w:rPr>
  </w:style>
  <w:style w:type="paragraph" w:styleId="Predmetkomentra">
    <w:name w:val="annotation subject"/>
    <w:basedOn w:val="Textkomentra"/>
    <w:next w:val="Textkomentra"/>
    <w:link w:val="PredmetkomentraChar"/>
    <w:uiPriority w:val="99"/>
    <w:semiHidden/>
    <w:unhideWhenUsed/>
    <w:rsid w:val="00E822A7"/>
    <w:rPr>
      <w:b/>
      <w:bCs/>
    </w:rPr>
  </w:style>
  <w:style w:type="character" w:customStyle="1" w:styleId="PredmetkomentraChar">
    <w:name w:val="Predmet komentára Char"/>
    <w:basedOn w:val="TextkomentraChar"/>
    <w:link w:val="Predmetkomentra"/>
    <w:uiPriority w:val="99"/>
    <w:semiHidden/>
    <w:rsid w:val="00E822A7"/>
    <w:rPr>
      <w:rFonts w:eastAsia="Times New Roman" w:cs="Calibri"/>
      <w:b/>
      <w:bCs/>
      <w:lang w:eastAsia="en-US"/>
    </w:rPr>
  </w:style>
  <w:style w:type="paragraph" w:styleId="Revzia">
    <w:name w:val="Revision"/>
    <w:hidden/>
    <w:uiPriority w:val="99"/>
    <w:semiHidden/>
    <w:rsid w:val="00F9747D"/>
    <w:rPr>
      <w:rFonts w:eastAsia="Times New Roman" w:cs="Calibri"/>
      <w:sz w:val="22"/>
      <w:szCs w:val="22"/>
      <w:lang w:eastAsia="en-US"/>
    </w:rPr>
  </w:style>
  <w:style w:type="character" w:customStyle="1" w:styleId="left">
    <w:name w:val="left"/>
    <w:basedOn w:val="Predvolenpsmoodseku"/>
    <w:rsid w:val="007E36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14471">
      <w:bodyDiv w:val="1"/>
      <w:marLeft w:val="0"/>
      <w:marRight w:val="0"/>
      <w:marTop w:val="0"/>
      <w:marBottom w:val="0"/>
      <w:divBdr>
        <w:top w:val="none" w:sz="0" w:space="0" w:color="auto"/>
        <w:left w:val="none" w:sz="0" w:space="0" w:color="auto"/>
        <w:bottom w:val="none" w:sz="0" w:space="0" w:color="auto"/>
        <w:right w:val="none" w:sz="0" w:space="0" w:color="auto"/>
      </w:divBdr>
    </w:div>
    <w:div w:id="127477997">
      <w:bodyDiv w:val="1"/>
      <w:marLeft w:val="0"/>
      <w:marRight w:val="0"/>
      <w:marTop w:val="0"/>
      <w:marBottom w:val="0"/>
      <w:divBdr>
        <w:top w:val="none" w:sz="0" w:space="0" w:color="auto"/>
        <w:left w:val="none" w:sz="0" w:space="0" w:color="auto"/>
        <w:bottom w:val="none" w:sz="0" w:space="0" w:color="auto"/>
        <w:right w:val="none" w:sz="0" w:space="0" w:color="auto"/>
      </w:divBdr>
    </w:div>
    <w:div w:id="185564934">
      <w:bodyDiv w:val="1"/>
      <w:marLeft w:val="0"/>
      <w:marRight w:val="0"/>
      <w:marTop w:val="0"/>
      <w:marBottom w:val="0"/>
      <w:divBdr>
        <w:top w:val="none" w:sz="0" w:space="0" w:color="auto"/>
        <w:left w:val="none" w:sz="0" w:space="0" w:color="auto"/>
        <w:bottom w:val="none" w:sz="0" w:space="0" w:color="auto"/>
        <w:right w:val="none" w:sz="0" w:space="0" w:color="auto"/>
      </w:divBdr>
    </w:div>
    <w:div w:id="277179653">
      <w:bodyDiv w:val="1"/>
      <w:marLeft w:val="0"/>
      <w:marRight w:val="0"/>
      <w:marTop w:val="0"/>
      <w:marBottom w:val="0"/>
      <w:divBdr>
        <w:top w:val="none" w:sz="0" w:space="0" w:color="auto"/>
        <w:left w:val="none" w:sz="0" w:space="0" w:color="auto"/>
        <w:bottom w:val="none" w:sz="0" w:space="0" w:color="auto"/>
        <w:right w:val="none" w:sz="0" w:space="0" w:color="auto"/>
      </w:divBdr>
    </w:div>
    <w:div w:id="460926409">
      <w:bodyDiv w:val="1"/>
      <w:marLeft w:val="0"/>
      <w:marRight w:val="0"/>
      <w:marTop w:val="0"/>
      <w:marBottom w:val="0"/>
      <w:divBdr>
        <w:top w:val="none" w:sz="0" w:space="0" w:color="auto"/>
        <w:left w:val="none" w:sz="0" w:space="0" w:color="auto"/>
        <w:bottom w:val="none" w:sz="0" w:space="0" w:color="auto"/>
        <w:right w:val="none" w:sz="0" w:space="0" w:color="auto"/>
      </w:divBdr>
    </w:div>
    <w:div w:id="545222565">
      <w:bodyDiv w:val="1"/>
      <w:marLeft w:val="0"/>
      <w:marRight w:val="0"/>
      <w:marTop w:val="0"/>
      <w:marBottom w:val="0"/>
      <w:divBdr>
        <w:top w:val="none" w:sz="0" w:space="0" w:color="auto"/>
        <w:left w:val="none" w:sz="0" w:space="0" w:color="auto"/>
        <w:bottom w:val="none" w:sz="0" w:space="0" w:color="auto"/>
        <w:right w:val="none" w:sz="0" w:space="0" w:color="auto"/>
      </w:divBdr>
    </w:div>
    <w:div w:id="835724928">
      <w:bodyDiv w:val="1"/>
      <w:marLeft w:val="0"/>
      <w:marRight w:val="0"/>
      <w:marTop w:val="0"/>
      <w:marBottom w:val="0"/>
      <w:divBdr>
        <w:top w:val="none" w:sz="0" w:space="0" w:color="auto"/>
        <w:left w:val="none" w:sz="0" w:space="0" w:color="auto"/>
        <w:bottom w:val="none" w:sz="0" w:space="0" w:color="auto"/>
        <w:right w:val="none" w:sz="0" w:space="0" w:color="auto"/>
      </w:divBdr>
    </w:div>
    <w:div w:id="1194070963">
      <w:bodyDiv w:val="1"/>
      <w:marLeft w:val="0"/>
      <w:marRight w:val="0"/>
      <w:marTop w:val="0"/>
      <w:marBottom w:val="0"/>
      <w:divBdr>
        <w:top w:val="none" w:sz="0" w:space="0" w:color="auto"/>
        <w:left w:val="none" w:sz="0" w:space="0" w:color="auto"/>
        <w:bottom w:val="none" w:sz="0" w:space="0" w:color="auto"/>
        <w:right w:val="none" w:sz="0" w:space="0" w:color="auto"/>
      </w:divBdr>
    </w:div>
    <w:div w:id="1501389169">
      <w:bodyDiv w:val="1"/>
      <w:marLeft w:val="0"/>
      <w:marRight w:val="0"/>
      <w:marTop w:val="0"/>
      <w:marBottom w:val="0"/>
      <w:divBdr>
        <w:top w:val="none" w:sz="0" w:space="0" w:color="auto"/>
        <w:left w:val="none" w:sz="0" w:space="0" w:color="auto"/>
        <w:bottom w:val="none" w:sz="0" w:space="0" w:color="auto"/>
        <w:right w:val="none" w:sz="0" w:space="0" w:color="auto"/>
      </w:divBdr>
    </w:div>
    <w:div w:id="1735353375">
      <w:bodyDiv w:val="1"/>
      <w:marLeft w:val="0"/>
      <w:marRight w:val="0"/>
      <w:marTop w:val="0"/>
      <w:marBottom w:val="0"/>
      <w:divBdr>
        <w:top w:val="none" w:sz="0" w:space="0" w:color="auto"/>
        <w:left w:val="none" w:sz="0" w:space="0" w:color="auto"/>
        <w:bottom w:val="none" w:sz="0" w:space="0" w:color="auto"/>
        <w:right w:val="none" w:sz="0" w:space="0" w:color="auto"/>
      </w:divBdr>
    </w:div>
    <w:div w:id="1883714308">
      <w:bodyDiv w:val="1"/>
      <w:marLeft w:val="0"/>
      <w:marRight w:val="0"/>
      <w:marTop w:val="0"/>
      <w:marBottom w:val="0"/>
      <w:divBdr>
        <w:top w:val="none" w:sz="0" w:space="0" w:color="auto"/>
        <w:left w:val="none" w:sz="0" w:space="0" w:color="auto"/>
        <w:bottom w:val="none" w:sz="0" w:space="0" w:color="auto"/>
        <w:right w:val="none" w:sz="0" w:space="0" w:color="auto"/>
      </w:divBdr>
    </w:div>
    <w:div w:id="1904871395">
      <w:bodyDiv w:val="1"/>
      <w:marLeft w:val="0"/>
      <w:marRight w:val="0"/>
      <w:marTop w:val="0"/>
      <w:marBottom w:val="0"/>
      <w:divBdr>
        <w:top w:val="none" w:sz="0" w:space="0" w:color="auto"/>
        <w:left w:val="none" w:sz="0" w:space="0" w:color="auto"/>
        <w:bottom w:val="none" w:sz="0" w:space="0" w:color="auto"/>
        <w:right w:val="none" w:sz="0" w:space="0" w:color="auto"/>
      </w:divBdr>
    </w:div>
    <w:div w:id="1995791003">
      <w:bodyDiv w:val="1"/>
      <w:marLeft w:val="0"/>
      <w:marRight w:val="0"/>
      <w:marTop w:val="0"/>
      <w:marBottom w:val="0"/>
      <w:divBdr>
        <w:top w:val="none" w:sz="0" w:space="0" w:color="auto"/>
        <w:left w:val="none" w:sz="0" w:space="0" w:color="auto"/>
        <w:bottom w:val="none" w:sz="0" w:space="0" w:color="auto"/>
        <w:right w:val="none" w:sz="0" w:space="0" w:color="auto"/>
      </w:divBdr>
    </w:div>
    <w:div w:id="2012757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B27DAA-AD42-4832-8CE2-E987B1968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9</Pages>
  <Words>2014</Words>
  <Characters>11486</Characters>
  <Application>Microsoft Office Word</Application>
  <DocSecurity>0</DocSecurity>
  <Lines>95</Lines>
  <Paragraphs>26</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1</vt:lpstr>
      <vt:lpstr>1</vt:lpstr>
    </vt:vector>
  </TitlesOfParts>
  <Company>ENERGOCHEMICA a.s.</Company>
  <LinksUpToDate>false</LinksUpToDate>
  <CharactersWithSpaces>13474</CharactersWithSpaces>
  <SharedDoc>false</SharedDoc>
  <HLinks>
    <vt:vector size="126" baseType="variant">
      <vt:variant>
        <vt:i4>1638458</vt:i4>
      </vt:variant>
      <vt:variant>
        <vt:i4>122</vt:i4>
      </vt:variant>
      <vt:variant>
        <vt:i4>0</vt:i4>
      </vt:variant>
      <vt:variant>
        <vt:i4>5</vt:i4>
      </vt:variant>
      <vt:variant>
        <vt:lpwstr/>
      </vt:variant>
      <vt:variant>
        <vt:lpwstr>_Toc377991714</vt:lpwstr>
      </vt:variant>
      <vt:variant>
        <vt:i4>1638458</vt:i4>
      </vt:variant>
      <vt:variant>
        <vt:i4>116</vt:i4>
      </vt:variant>
      <vt:variant>
        <vt:i4>0</vt:i4>
      </vt:variant>
      <vt:variant>
        <vt:i4>5</vt:i4>
      </vt:variant>
      <vt:variant>
        <vt:lpwstr/>
      </vt:variant>
      <vt:variant>
        <vt:lpwstr>_Toc377991713</vt:lpwstr>
      </vt:variant>
      <vt:variant>
        <vt:i4>1638458</vt:i4>
      </vt:variant>
      <vt:variant>
        <vt:i4>110</vt:i4>
      </vt:variant>
      <vt:variant>
        <vt:i4>0</vt:i4>
      </vt:variant>
      <vt:variant>
        <vt:i4>5</vt:i4>
      </vt:variant>
      <vt:variant>
        <vt:lpwstr/>
      </vt:variant>
      <vt:variant>
        <vt:lpwstr>_Toc377991712</vt:lpwstr>
      </vt:variant>
      <vt:variant>
        <vt:i4>1638458</vt:i4>
      </vt:variant>
      <vt:variant>
        <vt:i4>104</vt:i4>
      </vt:variant>
      <vt:variant>
        <vt:i4>0</vt:i4>
      </vt:variant>
      <vt:variant>
        <vt:i4>5</vt:i4>
      </vt:variant>
      <vt:variant>
        <vt:lpwstr/>
      </vt:variant>
      <vt:variant>
        <vt:lpwstr>_Toc377991711</vt:lpwstr>
      </vt:variant>
      <vt:variant>
        <vt:i4>1638458</vt:i4>
      </vt:variant>
      <vt:variant>
        <vt:i4>98</vt:i4>
      </vt:variant>
      <vt:variant>
        <vt:i4>0</vt:i4>
      </vt:variant>
      <vt:variant>
        <vt:i4>5</vt:i4>
      </vt:variant>
      <vt:variant>
        <vt:lpwstr/>
      </vt:variant>
      <vt:variant>
        <vt:lpwstr>_Toc377991710</vt:lpwstr>
      </vt:variant>
      <vt:variant>
        <vt:i4>1572922</vt:i4>
      </vt:variant>
      <vt:variant>
        <vt:i4>92</vt:i4>
      </vt:variant>
      <vt:variant>
        <vt:i4>0</vt:i4>
      </vt:variant>
      <vt:variant>
        <vt:i4>5</vt:i4>
      </vt:variant>
      <vt:variant>
        <vt:lpwstr/>
      </vt:variant>
      <vt:variant>
        <vt:lpwstr>_Toc377991709</vt:lpwstr>
      </vt:variant>
      <vt:variant>
        <vt:i4>1572922</vt:i4>
      </vt:variant>
      <vt:variant>
        <vt:i4>86</vt:i4>
      </vt:variant>
      <vt:variant>
        <vt:i4>0</vt:i4>
      </vt:variant>
      <vt:variant>
        <vt:i4>5</vt:i4>
      </vt:variant>
      <vt:variant>
        <vt:lpwstr/>
      </vt:variant>
      <vt:variant>
        <vt:lpwstr>_Toc377991708</vt:lpwstr>
      </vt:variant>
      <vt:variant>
        <vt:i4>1572922</vt:i4>
      </vt:variant>
      <vt:variant>
        <vt:i4>80</vt:i4>
      </vt:variant>
      <vt:variant>
        <vt:i4>0</vt:i4>
      </vt:variant>
      <vt:variant>
        <vt:i4>5</vt:i4>
      </vt:variant>
      <vt:variant>
        <vt:lpwstr/>
      </vt:variant>
      <vt:variant>
        <vt:lpwstr>_Toc377991707</vt:lpwstr>
      </vt:variant>
      <vt:variant>
        <vt:i4>1572922</vt:i4>
      </vt:variant>
      <vt:variant>
        <vt:i4>74</vt:i4>
      </vt:variant>
      <vt:variant>
        <vt:i4>0</vt:i4>
      </vt:variant>
      <vt:variant>
        <vt:i4>5</vt:i4>
      </vt:variant>
      <vt:variant>
        <vt:lpwstr/>
      </vt:variant>
      <vt:variant>
        <vt:lpwstr>_Toc377991706</vt:lpwstr>
      </vt:variant>
      <vt:variant>
        <vt:i4>1572922</vt:i4>
      </vt:variant>
      <vt:variant>
        <vt:i4>68</vt:i4>
      </vt:variant>
      <vt:variant>
        <vt:i4>0</vt:i4>
      </vt:variant>
      <vt:variant>
        <vt:i4>5</vt:i4>
      </vt:variant>
      <vt:variant>
        <vt:lpwstr/>
      </vt:variant>
      <vt:variant>
        <vt:lpwstr>_Toc377991705</vt:lpwstr>
      </vt:variant>
      <vt:variant>
        <vt:i4>1572922</vt:i4>
      </vt:variant>
      <vt:variant>
        <vt:i4>62</vt:i4>
      </vt:variant>
      <vt:variant>
        <vt:i4>0</vt:i4>
      </vt:variant>
      <vt:variant>
        <vt:i4>5</vt:i4>
      </vt:variant>
      <vt:variant>
        <vt:lpwstr/>
      </vt:variant>
      <vt:variant>
        <vt:lpwstr>_Toc377991704</vt:lpwstr>
      </vt:variant>
      <vt:variant>
        <vt:i4>1572922</vt:i4>
      </vt:variant>
      <vt:variant>
        <vt:i4>56</vt:i4>
      </vt:variant>
      <vt:variant>
        <vt:i4>0</vt:i4>
      </vt:variant>
      <vt:variant>
        <vt:i4>5</vt:i4>
      </vt:variant>
      <vt:variant>
        <vt:lpwstr/>
      </vt:variant>
      <vt:variant>
        <vt:lpwstr>_Toc377991703</vt:lpwstr>
      </vt:variant>
      <vt:variant>
        <vt:i4>1572922</vt:i4>
      </vt:variant>
      <vt:variant>
        <vt:i4>50</vt:i4>
      </vt:variant>
      <vt:variant>
        <vt:i4>0</vt:i4>
      </vt:variant>
      <vt:variant>
        <vt:i4>5</vt:i4>
      </vt:variant>
      <vt:variant>
        <vt:lpwstr/>
      </vt:variant>
      <vt:variant>
        <vt:lpwstr>_Toc377991702</vt:lpwstr>
      </vt:variant>
      <vt:variant>
        <vt:i4>1572922</vt:i4>
      </vt:variant>
      <vt:variant>
        <vt:i4>44</vt:i4>
      </vt:variant>
      <vt:variant>
        <vt:i4>0</vt:i4>
      </vt:variant>
      <vt:variant>
        <vt:i4>5</vt:i4>
      </vt:variant>
      <vt:variant>
        <vt:lpwstr/>
      </vt:variant>
      <vt:variant>
        <vt:lpwstr>_Toc377991701</vt:lpwstr>
      </vt:variant>
      <vt:variant>
        <vt:i4>1572922</vt:i4>
      </vt:variant>
      <vt:variant>
        <vt:i4>38</vt:i4>
      </vt:variant>
      <vt:variant>
        <vt:i4>0</vt:i4>
      </vt:variant>
      <vt:variant>
        <vt:i4>5</vt:i4>
      </vt:variant>
      <vt:variant>
        <vt:lpwstr/>
      </vt:variant>
      <vt:variant>
        <vt:lpwstr>_Toc377991700</vt:lpwstr>
      </vt:variant>
      <vt:variant>
        <vt:i4>1114171</vt:i4>
      </vt:variant>
      <vt:variant>
        <vt:i4>32</vt:i4>
      </vt:variant>
      <vt:variant>
        <vt:i4>0</vt:i4>
      </vt:variant>
      <vt:variant>
        <vt:i4>5</vt:i4>
      </vt:variant>
      <vt:variant>
        <vt:lpwstr/>
      </vt:variant>
      <vt:variant>
        <vt:lpwstr>_Toc377991699</vt:lpwstr>
      </vt:variant>
      <vt:variant>
        <vt:i4>1114171</vt:i4>
      </vt:variant>
      <vt:variant>
        <vt:i4>26</vt:i4>
      </vt:variant>
      <vt:variant>
        <vt:i4>0</vt:i4>
      </vt:variant>
      <vt:variant>
        <vt:i4>5</vt:i4>
      </vt:variant>
      <vt:variant>
        <vt:lpwstr/>
      </vt:variant>
      <vt:variant>
        <vt:lpwstr>_Toc377991698</vt:lpwstr>
      </vt:variant>
      <vt:variant>
        <vt:i4>1114171</vt:i4>
      </vt:variant>
      <vt:variant>
        <vt:i4>20</vt:i4>
      </vt:variant>
      <vt:variant>
        <vt:i4>0</vt:i4>
      </vt:variant>
      <vt:variant>
        <vt:i4>5</vt:i4>
      </vt:variant>
      <vt:variant>
        <vt:lpwstr/>
      </vt:variant>
      <vt:variant>
        <vt:lpwstr>_Toc377991697</vt:lpwstr>
      </vt:variant>
      <vt:variant>
        <vt:i4>1114171</vt:i4>
      </vt:variant>
      <vt:variant>
        <vt:i4>14</vt:i4>
      </vt:variant>
      <vt:variant>
        <vt:i4>0</vt:i4>
      </vt:variant>
      <vt:variant>
        <vt:i4>5</vt:i4>
      </vt:variant>
      <vt:variant>
        <vt:lpwstr/>
      </vt:variant>
      <vt:variant>
        <vt:lpwstr>_Toc377991696</vt:lpwstr>
      </vt:variant>
      <vt:variant>
        <vt:i4>1114171</vt:i4>
      </vt:variant>
      <vt:variant>
        <vt:i4>8</vt:i4>
      </vt:variant>
      <vt:variant>
        <vt:i4>0</vt:i4>
      </vt:variant>
      <vt:variant>
        <vt:i4>5</vt:i4>
      </vt:variant>
      <vt:variant>
        <vt:lpwstr/>
      </vt:variant>
      <vt:variant>
        <vt:lpwstr>_Toc377991695</vt:lpwstr>
      </vt:variant>
      <vt:variant>
        <vt:i4>1114171</vt:i4>
      </vt:variant>
      <vt:variant>
        <vt:i4>2</vt:i4>
      </vt:variant>
      <vt:variant>
        <vt:i4>0</vt:i4>
      </vt:variant>
      <vt:variant>
        <vt:i4>5</vt:i4>
      </vt:variant>
      <vt:variant>
        <vt:lpwstr/>
      </vt:variant>
      <vt:variant>
        <vt:lpwstr>_Toc377991694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Ing. Marián Cicman</dc:creator>
  <cp:lastModifiedBy>Ing. Andrea Petrašovičová</cp:lastModifiedBy>
  <cp:revision>14</cp:revision>
  <cp:lastPrinted>2017-06-14T07:55:00Z</cp:lastPrinted>
  <dcterms:created xsi:type="dcterms:W3CDTF">2018-05-11T08:21:00Z</dcterms:created>
  <dcterms:modified xsi:type="dcterms:W3CDTF">2018-05-28T13:54:00Z</dcterms:modified>
</cp:coreProperties>
</file>